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D75D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 w14:paraId="0E39BA11">
      <w:pPr>
        <w:pStyle w:val="2"/>
        <w:jc w:val="center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绵阳市涪江中药饮片有限责任公司</w:t>
      </w:r>
    </w:p>
    <w:p w14:paraId="276D896B">
      <w:pPr>
        <w:pStyle w:val="2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微信公众号+小程序一体化平台建设项目磋商文件</w:t>
      </w:r>
    </w:p>
    <w:p w14:paraId="56DE3C82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4BB18A5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第一部分 总则</w:t>
      </w:r>
    </w:p>
    <w:p w14:paraId="522C0FFE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一、项目背景</w:t>
      </w:r>
    </w:p>
    <w:p w14:paraId="377B74A0">
      <w:pPr>
        <w:pStyle w:val="4"/>
        <w:ind w:firstLine="560" w:firstLineChars="200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为顺应数字化转型趋势，整合公司现有微信公众号、线上销售渠道及共享中药房服务资源，打通业务数据壁垒，实现“商品销售+代煎服务+用户管理”一体化运营，提升服务响应速度、运营管理效率及用户满意度，降低运营成本，特开展本项目采购。</w:t>
      </w:r>
    </w:p>
    <w:p w14:paraId="6CA6882E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二、磋商依据</w:t>
      </w:r>
    </w:p>
    <w:p w14:paraId="27F6A3CE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《中华人民共和国政府采购法》</w:t>
      </w:r>
    </w:p>
    <w:p w14:paraId="067F2AE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《中华人民共和国政府采购法实施条例》</w:t>
      </w:r>
    </w:p>
    <w:p w14:paraId="28113901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《政府采购竞争性磋商采购方式管理暂行办法》（财政部令第87号）</w:t>
      </w:r>
    </w:p>
    <w:p w14:paraId="471D2B7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《中华人民共和国电子商务法》《中华人民共和国网络安全法》《中华人民共和国数据安全法》《中华人民共和国个人信息保护法》</w:t>
      </w:r>
    </w:p>
    <w:p w14:paraId="5F56EE1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《信息安全技术 网络安全等级保护基本要求》（GB/T 22239-2019）</w:t>
      </w:r>
    </w:p>
    <w:p w14:paraId="528E8786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其他相关法律法规、行业标准及采购方内部管理要求</w:t>
      </w:r>
    </w:p>
    <w:p w14:paraId="3E65B984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三、项目范围</w:t>
      </w:r>
    </w:p>
    <w:p w14:paraId="5836EE6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项目采购范围涵盖微信公众号+小程序一体化平台的全生命周期服务，包括但不限于：需求调研、方案设计、软件开发、系统集成（支付、物流、代煎系统）、测试验收、部署上线、人员培训、售后服务及质保期内的系统维护与优化，具体以技术部分要求为准。</w:t>
      </w:r>
    </w:p>
    <w:p w14:paraId="34259C2D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四、响应文件有效期</w:t>
      </w:r>
    </w:p>
    <w:p w14:paraId="0C6E732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自响应文件提交截止之日起90天，有效期内，响应文件内容对供应商具有法律约束力，供应商不得擅自变更或撤回。</w:t>
      </w:r>
    </w:p>
    <w:p w14:paraId="43205C24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五、踏勘现场</w:t>
      </w:r>
    </w:p>
    <w:p w14:paraId="45F4546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供应商可自行前往采购方指定地点踏勘现场，了解项目实施环境及相关情况，踏勘费用由供应商自行承担。采购方不统一组织踏勘，也不对供应商因未踏勘或踏勘不充分导致的决策失误承担责任。</w:t>
      </w:r>
    </w:p>
    <w:p w14:paraId="5A9B4CAC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六、保密要求</w:t>
      </w:r>
    </w:p>
    <w:p w14:paraId="6861DC1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供应商应对磋商文件内容、采购方提供的相关资料及项目实施过程中获取的商业秘密、技术信息、用户数据等承担保密义务，未经采购方书面同意，不得向任何第三方泄露，保密期限为合同终止后3年。</w:t>
      </w:r>
    </w:p>
    <w:p w14:paraId="693EB33B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七、最高限价（控制价）说明</w:t>
      </w:r>
    </w:p>
    <w:p w14:paraId="159A1B8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本项目最高限价（控制价）为人民币98000元（大写：玖万捌仟元整），供应商报价超出该限价的，响应文件按无效处理；</w:t>
      </w:r>
    </w:p>
    <w:p w14:paraId="5DE874FE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最高限价包含需求调研、方案设计、软件开发、系统集成、测试、部署、调试、培训、1年质保、税费（增值税）等项目实施全流程的全部费用，采购方不再支付任何额外费用；</w:t>
      </w:r>
    </w:p>
    <w:p w14:paraId="46D2159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供应商应基于自身成本测算及技术能力报价，报价应真实、合理，不得低于成本价竞争，否则视为恶意报价，采购方有权取消其磋商或中标资格。</w:t>
      </w:r>
    </w:p>
    <w:p w14:paraId="249C760D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第二部分 技术部分</w:t>
      </w:r>
    </w:p>
    <w:p w14:paraId="01B50817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一、总体技术要求（均为必需项）</w:t>
      </w:r>
    </w:p>
    <w:p w14:paraId="78E860D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开发语言与系统架构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采用主流开发语言（Java/Python/Node.js任选其一，需明确说明），基于微服务架构设计，支持容器化部署（Docker）及编排工具（Kubernetes）；实现数据库层、应用层、表示层分离，各服务模块独立部署、按需扩展，满足高可用性和弹性扩展需求。</w:t>
      </w:r>
    </w:p>
    <w:p w14:paraId="46A6EA71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跨终端与兼容性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：小程序需兼容微信最新版本，支持安卓（Android 10.0及以上）、苹果（iOS 14.0及以上）、鸿蒙（HarmonyOS 2.0及以上）系统；公众号适配主流浏览器（Chrome 90+、Edge 90+、Safari 14+），支持响应式布局。</w:t>
      </w:r>
    </w:p>
    <w:p w14:paraId="7ECE3BA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数据库要求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：支持主流关系型数据库（MySQL 8.0+/Oracle 19c+/SQL Server 2019+任选其一），提供数据库正版授权文件；具备数据迁移能力，支持大规模数据高效存储（单表数据量≥100万条）和快速检索（查询响应时间≤0.5秒），关键业务字段（订单号、商品编码等）需建立索引。</w:t>
      </w:r>
    </w:p>
    <w:p w14:paraId="0A564B8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性能要求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：系统支持≥1000人同时在线操作，订单提交、支付确认等核心业务响应时间≤3秒；页面加载时间≤2秒（网络环境≥10Mbps）；平均无故障时间（MTBF）≥10000小时；支持≥500人并发下单操作。</w:t>
      </w:r>
    </w:p>
    <w:p w14:paraId="64E8318C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高可用与容灾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实现双机热备，服务器故障自动切换（切换时间≤30秒），保障系统持续服务；数据采用“每日全量备份+实时增量备份”策略，备份数据保留≥90天，支持故障后数据快速恢复（恢复时间≤4小时），数据丢失率≤0。</w:t>
      </w:r>
    </w:p>
    <w:p w14:paraId="67759B0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安全性要求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55EE2D9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（1）数据传输采用SSL/TLS 1.2+协议加密，数据存储采用AES-256加密算法；</w:t>
      </w:r>
    </w:p>
    <w:p w14:paraId="574DAB2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（2）用户登录支持账号密码+手机验证码双因素认证，支付环节需单独验证支付密码；</w:t>
      </w:r>
    </w:p>
    <w:p w14:paraId="573F7D4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（3）具备防SQL注入、XSS攻击、CSRF攻击、暴力破解等安全防护能力；</w:t>
      </w:r>
    </w:p>
    <w:p w14:paraId="7EAAEB7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（4）符合《信息安全技术 网络安全等级保护基本要求》（GB/T 22239-2019）二级等保要求，通过等保测评（供应商需协助采购方完成等保备案及测评）；</w:t>
      </w:r>
    </w:p>
    <w:p w14:paraId="5692133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（5）用户敏感信息（身份证号、手机号、支付信息等）脱敏存储，仅授权人员可查看完整信息。</w:t>
      </w:r>
    </w:p>
    <w:p w14:paraId="6932FB2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系统集成要求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32DC2C4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（1）支付系统：集成微信支付、支付宝（必需），银联支付（可选），实现订单支付、退款、对账功能，支付结果实时回调，订单状态与支付状态保持一致；</w:t>
      </w:r>
    </w:p>
    <w:p w14:paraId="51CE632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（2）物流系统：对接顺丰、圆通、中通、韵达、邮政（至少3家主流物流），自动获取物流单号、物流轨迹，支持物流信息实时同步至用户端；</w:t>
      </w:r>
    </w:p>
    <w:p w14:paraId="28292AE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（3）代煎系统：与采购方现有代煎系统无缝对接，通过姓名、手机号、处方号实现用户信息绑定、代煎进度查询、处方信息调取等功能，接口响应时间≤1秒；</w:t>
      </w:r>
    </w:p>
    <w:p w14:paraId="05DF58B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（4）预留扩展接口：提供标准化API接口平台，支持后续新增业务系统（如CRM、ERP）对接，接口文档规范完整。</w:t>
      </w:r>
    </w:p>
    <w:p w14:paraId="5E73A10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追溯与审计要求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308AE75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（1）订单追溯：支持按订单号、商品编码、物流单号关联查询，覆盖商品来源、下单、支付、发货、售后全环节，操作记录保留≥3年；</w:t>
      </w:r>
    </w:p>
    <w:p w14:paraId="2662D9EA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（2）商品追溯：支持SPU/SKU溯源、供应商信息查询，商品流转记录可查可追溯；</w:t>
      </w:r>
    </w:p>
    <w:p w14:paraId="2CFB429A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（3）操作审计：记录所有用户（管理员、运营人员、普通用户）的操作日志，包括操作人、操作时间、操作内容、IP地址、设备信息等，日志保留≥1年，支持多维度筛选查询。</w:t>
      </w:r>
    </w:p>
    <w:p w14:paraId="0AABB31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合规性要求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：按照计算机化系统验证（CSV）要求执行，提供验证计划、风险管理报告、安装确认（IQ）、运行确认（OQ）、性能确认（PQ）方案及报告，协助采购方完成系统合规性验证，满足电商、数据安全相关法规要求。</w:t>
      </w:r>
    </w:p>
    <w:p w14:paraId="27EF03A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可扩展性与维护性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7CE5565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（1）支持功能模块扩展（如新增营销工具、会员体系升级），用户规模扩大（注册用户≥10万人）后系统无性能瓶颈；</w:t>
      </w:r>
    </w:p>
    <w:p w14:paraId="239174C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（2）提供完整的技术文档（需求规格说明书、设计文档、接口文档、操作手册、维护手册等），便于系统后续维护与升级；</w:t>
      </w:r>
    </w:p>
    <w:p w14:paraId="3B509D6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（3）支持远程维护，提供日志分析、故障排查工具。</w:t>
      </w:r>
    </w:p>
    <w:p w14:paraId="42C875AF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二、核心功能要求（均为必需项）</w:t>
      </w:r>
    </w:p>
    <w:p w14:paraId="688D8BAC">
      <w:pPr>
        <w:pStyle w:val="5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（一）微信公众号功能</w:t>
      </w:r>
    </w:p>
    <w:p w14:paraId="660C0A6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内容管理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160AE4B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（1）支持公司简介、新闻公告、学术活动、业务介绍等内容的编辑、发布、修改、删除，支持图文、视频、音频等多种形式，视频支持≤200MB大文件上传；</w:t>
      </w:r>
    </w:p>
    <w:p w14:paraId="2F7F191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（2）支持内容分类管理（多级分类）、标签管理，可按发布时间、阅读量排序展示；</w:t>
      </w:r>
    </w:p>
    <w:p w14:paraId="7DED4A8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（3）支持内容预览、定时发布（精确到分钟）、草稿保存功能。</w:t>
      </w:r>
    </w:p>
    <w:p w14:paraId="2A22A5A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用户互动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4E1C1585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（1）支持粉丝关注/取关记录统计，粉丝标签管理（按消费金额、购买品类、地域等）；</w:t>
      </w:r>
    </w:p>
    <w:p w14:paraId="5470D99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（2）支持模板消息推送（订单状态变更、代煎进度更新、活动通知等），推送记录可查；</w:t>
      </w:r>
    </w:p>
    <w:p w14:paraId="767D0CF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（3）支持从公众号菜单直接跳转至小程序首页、商品列表、个人中心等页面。</w:t>
      </w:r>
    </w:p>
    <w:p w14:paraId="6EAC42B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数据统计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：支持公众号文章阅读量、点赞量、转发量、粉丝增长数等数据统计，按日/周/月生成报表，支持导出Excel格式。</w:t>
      </w:r>
    </w:p>
    <w:p w14:paraId="5B6AD477">
      <w:pPr>
        <w:pStyle w:val="5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（二）小程序商城功能</w:t>
      </w:r>
    </w:p>
    <w:p w14:paraId="50F9B4B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商品管理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2F4A804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（1）分类管理：支持多级分类（至少3级），分类新增、编辑、删除、禁用/启用，分类图标（尺寸≥80</w:t>
      </w:r>
      <w:r>
        <w:rPr>
          <w:rFonts w:hint="eastAsia" w:ascii="方正仿宋简体" w:hAnsi="方正仿宋简体" w:eastAsia="方正仿宋简体" w:cs="方正仿宋简体"/>
          <w:i/>
          <w:iCs/>
          <w:sz w:val="28"/>
          <w:szCs w:val="28"/>
        </w:rPr>
        <w:t>80px）、封面图（尺寸≥600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300px）上传，支持分类排序（手动拖拽排序）；</w:t>
      </w:r>
    </w:p>
    <w:p w14:paraId="1835136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（2）SPU/SKU管理：</w:t>
      </w:r>
    </w:p>
    <w:p w14:paraId="06578A78">
      <w:pPr>
        <w:pStyle w:val="16"/>
        <w:numPr>
          <w:ilvl w:val="0"/>
          <w:numId w:val="2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SPU维护：支持名称、简介、详情（富文本编辑）、品牌、分类、属性组、主图（≥5张，尺寸≥800*800px）、详情图上传，支持商品状态（上架/下架）管理；</w:t>
      </w:r>
    </w:p>
    <w:p w14:paraId="3F129A1E">
      <w:pPr>
        <w:pStyle w:val="16"/>
        <w:numPr>
          <w:ilvl w:val="0"/>
          <w:numId w:val="2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SKU生成：基于规格属性（如规格、产地、包装）组合生成SKU，自动生成唯一SKU编码（规则可配置），支持SKU独立设置价格、库存、条码、状态，库存预警（设置阈值后自动提醒）；</w:t>
      </w:r>
    </w:p>
    <w:p w14:paraId="515FFC8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（3）商品评价：用户下单完成后可提交评价（文字≥10字、评分1-5星、图片≤5张），支持追评（下单后30天内），商家可回复评价；评价在商品详情页按时间/评分排序展示，支持筛选（好评/中评/差评）。</w:t>
      </w:r>
    </w:p>
    <w:p w14:paraId="6F16A14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购物车管理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2E6C10B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（1）支持商品添加（选择SKU、数量）、修改数量（1-99件）、删除、选中/取消选中，支持一键清空失效商品（库存为0或商品下架）；</w:t>
      </w:r>
    </w:p>
    <w:p w14:paraId="06991AA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（2）价格实时计算（含商品单价、数量、优惠券、运费），支持跨店合并结算；</w:t>
      </w:r>
    </w:p>
    <w:p w14:paraId="77A1ABC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（3）购物车商品保留时间≥30天（未登录状态下按设备标识保留，登录后同步至账号）。</w:t>
      </w:r>
    </w:p>
    <w:p w14:paraId="1A48054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订单管理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7B3B250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（1）下单流程：支持选择收货地址（新增/编辑/删除/设为默认）、支付方式、配送方式（快递配送/门店自提），系统自动生成唯一订单号（规则：日期+随机数，如20260201XXXX）；</w:t>
      </w:r>
    </w:p>
    <w:p w14:paraId="494CA6A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（2）状态流转：支持待支付（超时30分钟自动取消）、已支付、待发货、已发货、待收货、已完成（确认收货后7天自动完成）、已取消、售后中状态流转，状态变更自动推送消息通知；</w:t>
      </w:r>
    </w:p>
    <w:p w14:paraId="0DA4639A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（3）订单查询：支持按订单号、下单时间、订单状态、商品名称筛选查询，订单详情展示商品信息、支付信息、物流信息、售后信息；</w:t>
      </w:r>
    </w:p>
    <w:p w14:paraId="72A2669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（4）订单操作：待支付订单支持取消，已支付未发货订单支持取消（需商家审核），支持修改收货地址（已发货订单除外）、添加订单备注（≤200字）。</w:t>
      </w:r>
    </w:p>
    <w:p w14:paraId="04BBE58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支付与对账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55F9C1B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（1）支付支持：微信支付（小程序内支付）、支付宝（跳转H5支付），支持信用卡支付、花呗支付；</w:t>
      </w:r>
    </w:p>
    <w:p w14:paraId="0826511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（2）对账功能：自动生成每日/每月支付账单，包含订单号、支付金额、支付时间、退款金额等信息，支持导出Excel，便于财务对账；</w:t>
      </w:r>
    </w:p>
    <w:p w14:paraId="59D44A4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（3）退款功能：售后退款原路退回，退款状态实时同步，退款记录可查。</w:t>
      </w:r>
    </w:p>
    <w:p w14:paraId="3D084DA2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售后管理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4F8A67B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（1）售后申请：用户可在订单完成后7天内申请售后（退款/退货退款），需选择售后原因（预设常见原因，支持自定义输入）、上传凭证（图片≤3张）、填写说明（≤500字）；</w:t>
      </w:r>
    </w:p>
    <w:p w14:paraId="45B1CA2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（2）售后审核：商家在24小时内审核，支持通过/驳回（需说明理由），驳回后用户可修改申请重新提交；</w:t>
      </w:r>
    </w:p>
    <w:p w14:paraId="240B1D0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（3）售后处理：退款申请审核通过后，资金原路退回（到账时间≤72小时）；退货退款审核通过后，用户上传物流单号，商家确认收货后退款；</w:t>
      </w:r>
    </w:p>
    <w:p w14:paraId="5E7BBD0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（4）售后跟踪：支持查看售后申请进度、处理记录，售后状态变更推送消息通知。</w:t>
      </w:r>
    </w:p>
    <w:p w14:paraId="63F6DD9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物流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lang w:eastAsia="zh-CN"/>
        </w:rPr>
        <w:t>配送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6D6ECE25">
      <w:pPr>
        <w:pStyle w:val="16"/>
        <w:numPr>
          <w:ilvl w:val="0"/>
          <w:numId w:val="2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支持对接至少3家主流物流，自动获取物流单号，物流轨迹按时间线展示（已揽收、运输中、中转、派件中、已签收）；</w:t>
      </w:r>
    </w:p>
    <w:p w14:paraId="03285DA7">
      <w:pPr>
        <w:pStyle w:val="16"/>
        <w:numPr>
          <w:ilvl w:val="0"/>
          <w:numId w:val="2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支持批量发货（≥100单/次），发货单导出（含物流单号、收件人信息）；</w:t>
      </w:r>
    </w:p>
    <w:p w14:paraId="152C8779">
      <w:pPr>
        <w:pStyle w:val="16"/>
        <w:numPr>
          <w:ilvl w:val="0"/>
          <w:numId w:val="2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物流异常提醒（超时未揽收、滞留、地址错误等），系统自动推送消息给商家和用户；</w:t>
      </w:r>
    </w:p>
    <w:p w14:paraId="0417ACCA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发票申请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1C01158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（1）用户下单时可选择是否开具发票，支持增值税普通发票、增值税专用发票；</w:t>
      </w:r>
    </w:p>
    <w:p w14:paraId="5FCCE70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（2）需填写发票抬头、纳税人识别号（专票需额外填写地址、电话、开户行及账号），支持发票信息保存（下次自动带出）；</w:t>
      </w:r>
    </w:p>
    <w:p w14:paraId="6422739A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（3）电子发票支持发送至用户邮箱，纸质发票由商家线下邮寄，发票状态（未开具、已开具、已邮寄）可查。</w:t>
      </w:r>
    </w:p>
    <w:p w14:paraId="6C3D2E64">
      <w:pPr>
        <w:pStyle w:val="5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（三）共享中药房功能</w:t>
      </w:r>
    </w:p>
    <w:p w14:paraId="64E9D946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代煎进度查询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23A3577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（1）用户通过姓名+手机号+处方号（三者任选其二）查询代煎进度，进度包含审核中、调配中、煎药中、包装中、待发货、物流中、已完成；</w:t>
      </w:r>
    </w:p>
    <w:p w14:paraId="28FF22F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（2）进度更新实时推送消息通知，支持查看各环节操作时间、操作人员（匿名展示）。</w:t>
      </w:r>
    </w:p>
    <w:p w14:paraId="0D2FFCB1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处方管理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2AA8611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（1）支持查询个人处方信息（处方日期、药品明细、用量、用法、医生备注），处方信息从现有代煎系统同步，支持图片预览（处方扫描件）；</w:t>
      </w:r>
    </w:p>
    <w:p w14:paraId="6F06BE4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（2）支持处方收藏（常用处方）、历史处方查询（按时间排序）。</w:t>
      </w:r>
    </w:p>
    <w:p w14:paraId="5869FA1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个人中心（代煎相关）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267F9B0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（1）支持查看历史代煎订单（按时间排序），订单包含处方号、代煎时间、进度状态、物流信息（如有）；</w:t>
      </w:r>
    </w:p>
    <w:p w14:paraId="60CD5EF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（2）支持个人二维码展示（用于门店核销、身份验证），二维码可保存至手机；</w:t>
      </w:r>
    </w:p>
    <w:p w14:paraId="2571133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（3）支持个人信息维护（姓名、手机号、身份证号）、密码重置（通过手机验证码）。</w:t>
      </w:r>
    </w:p>
    <w:p w14:paraId="5CF31F2E">
      <w:pPr>
        <w:pStyle w:val="5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（四）后台管理功能</w:t>
      </w:r>
    </w:p>
    <w:p w14:paraId="3AFEC1AC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系统配置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54EBCD6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（1）企业信息管理：维护企业名称、LOGO、地址、联系方式、营业执照（图片上传）、简介（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附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文本），支持在公众号、小程序前台展示，支持信息编辑更新；</w:t>
      </w:r>
    </w:p>
    <w:p w14:paraId="51D59A2A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（2）员工管理：支持部门创建（多级架构）、员工账号新增（用户名、密码、手机号）、编辑、删除、禁用，账号绑定角色；</w:t>
      </w:r>
    </w:p>
    <w:p w14:paraId="1D7B2E2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（3）权限管理：支持自定义角色（如超级管理员、商品管理员、订单管理员、售后管理员），按模块分配功能权限（查看/新增/编辑/删除）、数据权限（按部门/门店）；</w:t>
      </w:r>
    </w:p>
    <w:p w14:paraId="6C1973D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（4）审计日志：记录所有员工操作日志（操作人、操作时间、操作模块、操作内容、IP地址、设备信息），支持按时间、操作人、操作模块筛选查询，日志保留≥1年，支持导出Excel。</w:t>
      </w:r>
    </w:p>
    <w:p w14:paraId="32C4B3B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数据统计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1AD0734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（1）会员统计：按日/周/月/年统计会员注册数、活跃数（登录并操作）、留存率，支持会员等级分布统计；</w:t>
      </w:r>
    </w:p>
    <w:p w14:paraId="6016FB15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（2）商品统计：统计商品下单件数、支付件数、支付金额、退款件数、退款金额、访客支付转化率（支付人数/访客数）、浏览量、收藏量、加购量，支持按商品、时间筛选，生成趋势图；</w:t>
      </w:r>
    </w:p>
    <w:p w14:paraId="7073251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（3）交易统计：按日/周/月/年统计订单创建数、支付数、支付金额、退款数、退款金额、客单价，支持按支付方式、配送方式、门店筛选，生成报表并导出；</w:t>
      </w:r>
    </w:p>
    <w:p w14:paraId="6B84322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（4）代煎统计：按日/周/月/年统计代煎订单数、各进度状态订单数、完成率，支持导出报表。</w:t>
      </w:r>
    </w:p>
    <w:p w14:paraId="3322EB06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三、系统集成与接口要求</w:t>
      </w:r>
    </w:p>
    <w:p w14:paraId="3EC1AA8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接口标准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：所有接口采用RESTful API设计，支持JSON数据格式，接口文档采用Swagger规范，提供接口测试环境；</w:t>
      </w:r>
    </w:p>
    <w:p w14:paraId="6DAA56B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接口性能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：接口响应时间≤1秒，支持≥100QPS并发请求，接口可用性≥99.9%；</w:t>
      </w:r>
    </w:p>
    <w:p w14:paraId="24D65292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接口安全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：接口调用需进行身份认证（Token验证），支持接口访问频率限制（防止恶意调用），关键接口（支付、退款、用户信息查询）需额外签名验证；</w:t>
      </w:r>
    </w:p>
    <w:p w14:paraId="5A8E804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代煎系统接口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：供应商需配合采购方与现有代煎系统开发商对接，明确接口需求、数据格式、调用方式，确保数据互通无误，接口开发、调试费用包含在报价内；</w:t>
      </w:r>
    </w:p>
    <w:p w14:paraId="007C533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第三方系统接口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：支付、物流系统接口开发、调试费用包含在报价内，第三方接口使用费（如物流接口年费、支付手续费）由采购方承担。</w:t>
      </w:r>
    </w:p>
    <w:p w14:paraId="56E7EA77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四、交付要求</w:t>
      </w:r>
    </w:p>
    <w:p w14:paraId="2CD2187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交付成果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3C6E8AE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（1）软件成果：微信公众号优化后可正常使用，小程序通过微信审核上线，系统功能符合本文件要求；</w:t>
      </w:r>
    </w:p>
    <w:p w14:paraId="3517548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文档成果：需求规格说明书、系统设计文档（架构设计、数据库设计、接口文档）、测试报告（功能测试、性能测试、安全测试）、验证报告（IQ/OQ/PQ）、操作手册（用户手册、管理员手册）、维护手册、源代码（含注释）、数据库脚本；</w:t>
      </w:r>
    </w:p>
    <w:p w14:paraId="046C3CD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（3）其他成果：等保备案材料、系统部署包、培训材料（PPT+视频）。</w:t>
      </w:r>
    </w:p>
    <w:p w14:paraId="681E9F5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交付时间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12A7DE8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（1）需求调研与方案设计：合同签订后10日历天内完成；</w:t>
      </w:r>
    </w:p>
    <w:p w14:paraId="1D04FD5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（2）软件开发与测试：方案确认后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60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日历天内完成；</w:t>
      </w:r>
    </w:p>
    <w:p w14:paraId="59A0E72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（3）系统部署与调试：开发完成后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10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日历天内完成；</w:t>
      </w:r>
    </w:p>
    <w:p w14:paraId="60F1A57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（4）用户培训：部署完成后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日历天内完成；</w:t>
      </w:r>
    </w:p>
    <w:p w14:paraId="0D15D9A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（5）试运行与验收：培训完成后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日历天内完成试运行，试运行无重大故障后组织最终验收。</w:t>
      </w:r>
    </w:p>
    <w:p w14:paraId="7940071C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交付地点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：绵阳市涪江中药饮片有限责任公司指定地点（线上部署+现场调试）。</w:t>
      </w:r>
    </w:p>
    <w:p w14:paraId="69FA0F5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验收标准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5289A71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（1）功能验收：所有必需功能按技术要求逐项测试，通过率100%；</w:t>
      </w:r>
    </w:p>
    <w:p w14:paraId="037A669A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（2）性能验收：并发用户数、响应时间、稳定性等指标达到技术要求；</w:t>
      </w:r>
    </w:p>
    <w:p w14:paraId="6AEA295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（3）安全验收：通过等保二级测评，无高危安全漏洞；</w:t>
      </w:r>
    </w:p>
    <w:p w14:paraId="7AA276B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（4）文档验收：交付文档完整、规范、可操作；</w:t>
      </w:r>
    </w:p>
    <w:p w14:paraId="16722FA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（5）验收流程：供应商提交验收申请及相关材料，采购方组织验收，验收合格出具验收报告；不合格的，供应商需在5日历天内整改完成，重新申请验收。</w:t>
      </w:r>
    </w:p>
    <w:p w14:paraId="008A5812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五、培训要求</w:t>
      </w:r>
    </w:p>
    <w:p w14:paraId="4DBFD7E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培训对象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：采购方运营人员（≥5人）、技术维护人员（≥2人）、管理人员（≥3人）；</w:t>
      </w:r>
    </w:p>
    <w:p w14:paraId="3A3D7622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培训方式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：线下集中培训（1次，时长≥8小时）+ 线上答疑（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个月内）；</w:t>
      </w:r>
    </w:p>
    <w:p w14:paraId="5D30DFD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培训内容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593FA32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（1）运营人员：商品管理、订单处理、售后处理、营销活动设置、数据统计查看；</w:t>
      </w:r>
    </w:p>
    <w:p w14:paraId="5E9B0A7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（2）技术维护人员：系统部署、日常维护、故障排查、接口调试、数据备份与恢复；</w:t>
      </w:r>
    </w:p>
    <w:p w14:paraId="6486B7A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（3）管理人员：后台权限分配、数据报表解读、系统整体操作；</w:t>
      </w:r>
    </w:p>
    <w:p w14:paraId="1FAD7BA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培训材料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：提供纸质版操作手册（每人1套）、电子版培训PPT、操作视频教程，支持后续按需提供补充培训（免费1次）。</w:t>
      </w:r>
    </w:p>
    <w:p w14:paraId="71DDD663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六、售后服务要求</w:t>
      </w:r>
    </w:p>
    <w:p w14:paraId="6820DC54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质保期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：系统最终验收合格后1年，质保期内提供免费维护服务；</w:t>
      </w:r>
    </w:p>
    <w:p w14:paraId="6D3A5A7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响应时间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64EBD58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（1）7×24小时电话技术支持，一般问题（如操作咨询）响应时间≤2小时，提供解决方案；</w:t>
      </w:r>
    </w:p>
    <w:p w14:paraId="2AF54D3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（2）重大问题（如系统宕机、数据异常）响应时间≤1小时，远程排查解决；远程无法解决的，24小时内派人现场处理（四川省内）；</w:t>
      </w:r>
    </w:p>
    <w:p w14:paraId="01A78C1C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维护内容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2E571065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（1）免费修复系统运行过程中出现的Bug、故障；</w:t>
      </w:r>
    </w:p>
    <w:p w14:paraId="691B011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（2）免费提供系统小版本升级（功能优化、兼容性调整）；</w:t>
      </w:r>
    </w:p>
    <w:p w14:paraId="244A8B7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（3）免费协助数据备份、恢复，定期（每月1次）检查系统运行状态；</w:t>
      </w:r>
    </w:p>
    <w:p w14:paraId="72F6A22C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质保期后服务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：质保期结束后，供应商需提供持续服务，可协商签订年度维护协议，维护费用不高于项目合同总金额的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8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%/年；</w:t>
      </w:r>
    </w:p>
    <w:p w14:paraId="5269410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服务承诺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：供应商需在响应文件中提供详细的售后服务方案，明确服务流程、响应时间、解决时限、联系人及联系方式。</w:t>
      </w:r>
    </w:p>
    <w:p w14:paraId="57A34488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第三部分 商务部分</w:t>
      </w:r>
    </w:p>
    <w:p w14:paraId="5830C3AD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一、合同主要条款</w:t>
      </w:r>
    </w:p>
    <w:p w14:paraId="210F5872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合同签订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：中标供应商收到中标通知书后10日历天内，与采购方签订采购合同，逾期未签订的视为自动放弃中标资格，采购方有权选择第二中标候选人或重新采购。</w:t>
      </w:r>
    </w:p>
    <w:p w14:paraId="42F6AEDD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价款支付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21EFEE4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（1）首付款：合同签订后15日历天内，采购方支付合同总金额的30%（即人民币29400元，大写：贰万玖仟肆佰元整）；</w:t>
      </w:r>
    </w:p>
    <w:p w14:paraId="2D188A2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（2）进度款：系统完成部署、调试并通过初步验收后15日历天内，采购方支付合同总金额的40%（即人民币39200元，大写：叁万玖仟贰佰元整）；</w:t>
      </w:r>
    </w:p>
    <w:p w14:paraId="4D00307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（3）尾款：系统最终验收合格后15日历天内，采购方支付合同总金额的30%（即人民币29400元，大写：贰万玖仟肆佰元整）；</w:t>
      </w:r>
    </w:p>
    <w:p w14:paraId="10BC4E7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（4）支付方式：银行转账，供应商需提供合法有效增值税专用发票（税率按国家规定执行）。</w:t>
      </w:r>
    </w:p>
    <w:p w14:paraId="4D50B0D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交货期与延期责任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：供应商需按交付时间完成所有成果交付，逾期交付的，每逾期1天按合同总金额的0.5%支付违约金；逾期超过15天的，采购方有权解除合同，供应商需退还已支付款项，并赔偿合同总金额20%的违约金。</w:t>
      </w:r>
    </w:p>
    <w:p w14:paraId="08D8F72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质量保证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供应商保证所提供的系统符合本文件技术要求及相关国家标准、行业标准，无质量缺陷；质保期内如出现质量问题，供应商未按约定时间解决的，每逾期1天按合同总金额的0.3%支付违约金；若因系统质量问题导致采购方损失的，供应商需承担相应赔偿责任。</w:t>
      </w:r>
    </w:p>
    <w:p w14:paraId="045E645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知识产权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783514DA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（1）供应商保证所提供的系统及相关服务不侵犯任何第三方知识产权，若发生知识产权纠纷，由供应商承担全部责任（包括但不限于赔偿损失、法律费用）；</w:t>
      </w:r>
    </w:p>
    <w:p w14:paraId="19776C7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（2）系统源代码及相关知识产权归属采购方所有，供应商不得擅自将相关代码、技术用于其他项目。</w:t>
      </w:r>
    </w:p>
    <w:p w14:paraId="670E3AD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保密义务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：双方应对项目实施过程中获取的对方商业秘密、技术信息、用户数据等承担保密义务，未经对方书面同意，不得向任何第三方泄露；若违反保密义务，需赔偿对方因此造成的损失。</w:t>
      </w:r>
    </w:p>
    <w:p w14:paraId="7138ADB4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违约责任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0FE55B9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（1）供应商未按合同约定提供服务或系统不符合要求，采购方有权要求限期整改，整改后仍不符合要求的，采购方有权解除合同，供应商需退还已支付款项，并赔偿合同总金额20%的违约金；</w:t>
      </w:r>
    </w:p>
    <w:p w14:paraId="4CE8F35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（2）采购方未按合同约定支付款项，每逾期1天按逾期支付金额的0.3%支付违约金。</w:t>
      </w:r>
    </w:p>
    <w:p w14:paraId="548AFCB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合同解除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：发生不可抗力（如地震、洪水、政策变动等）导致合同无法履行的，双方可协商解除合同，互不承担违约责任；因一方违约导致合同无法履行的，守约方有权解除合同，并要求违约方承担相应责任。</w:t>
      </w:r>
    </w:p>
    <w:p w14:paraId="6BEC9A22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争议解决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：双方因合同履行发生争议，应首先协商解决；协商不成的，提交采购方所在地人民法院诉讼解决。</w:t>
      </w:r>
    </w:p>
    <w:p w14:paraId="764F7F79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二、报价要求</w:t>
      </w:r>
    </w:p>
    <w:p w14:paraId="2DB30B1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报价范围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包含本项目所需的需求调研、方案设计、软件开发、系统集成、测试、部署、调试、培训、售后服务、税费（增值税）等全部费用，供应商应充分考虑项目实施过程中的各类风险，一次性报出总报价，报价为固定总价，合同履行期间不作调整（除采购方提出的新增功能需求外）。</w:t>
      </w:r>
    </w:p>
    <w:p w14:paraId="39D111E4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报价形式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：报价以人民币为单位，精确到小数点后两位，需单独列明各项服务费用构成（详见附件4《报价明细表》），不得有缺项、漏项。</w:t>
      </w:r>
    </w:p>
    <w:p w14:paraId="0F828B8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报价有效期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：与响应文件有效期一致，有效期内供应商不得调整报价。</w:t>
      </w:r>
    </w:p>
    <w:p w14:paraId="69AA0F88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禁止行为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：供应商不得虚报、瞒报报价，不得低于成本价竞争；若发现报价存在虚假成分或恶意竞争，采购方有权取消其磋商资格，并列入不良供应商名单。</w:t>
      </w:r>
    </w:p>
    <w:p w14:paraId="0DDC7D7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最高限价约束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：供应商报价不得超出本项目最高限价（98000元），否则响应文件按无效处理。</w:t>
      </w:r>
    </w:p>
    <w:p w14:paraId="744A07C2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三、响应文件要求</w:t>
      </w:r>
    </w:p>
    <w:p w14:paraId="4A66DB6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响应文件组成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09D87B9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（1）响应函（格式见附件1）；</w:t>
      </w:r>
    </w:p>
    <w:p w14:paraId="191A395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（2）法定代表人身份证明（格式见附件2）或法定代表人授权委托书（格式见附件3）；</w:t>
      </w:r>
    </w:p>
    <w:p w14:paraId="050A8F2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（3）资格证明文件（按资格要求逐项提供，加盖公章）；</w:t>
      </w:r>
    </w:p>
    <w:p w14:paraId="3E02991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（4）技术响应方案（含技术架构设计、功能实现方案、系统集成方案、测试方案、交付计划、培训计划、售后服务方案等）；</w:t>
      </w:r>
    </w:p>
    <w:p w14:paraId="278D5D2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（5）商务响应方案（含报价明细表、合同主要条款响应/偏离表、企业实力证明材料、业绩证明材料等）；</w:t>
      </w:r>
    </w:p>
    <w:p w14:paraId="4F5F6A95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（6）项目团队介绍（项目经理及核心技术人员简历、资质证书、业绩证明）；</w:t>
      </w:r>
    </w:p>
    <w:p w14:paraId="43EDDCA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（7）供应商认为需要提供的其他补充材料（如获奖证书、荣誉资质等）。</w:t>
      </w:r>
    </w:p>
    <w:p w14:paraId="740F4F39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响应文件份数与格式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1650B90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（1）份数：一式两份（正本1份、副本1份），正副本内容须完全一致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;</w:t>
      </w:r>
    </w:p>
    <w:p w14:paraId="38F189F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（2）格式：响应文件需打印装订成册，正本、副本均需加盖供应商公章，法定代表人或授权委托人签字；修改处需加盖公章或签字确认；</w:t>
      </w:r>
    </w:p>
    <w:p w14:paraId="2171616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密封与标记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160FFCC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（1）响应文件正本、副本、电子版分别装入密封袋，密封袋上标明“项目名称、项目编号、供应商名称、正本/副本/电子版”字样；</w:t>
      </w:r>
    </w:p>
    <w:p w14:paraId="38FA24A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（2）密封袋封口处粘贴密封条，加盖供应商公章及骑缝章；</w:t>
      </w:r>
    </w:p>
    <w:p w14:paraId="5F5CF97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（3）未按规定密封或标记的响应文件，采购方有权拒收。</w:t>
      </w:r>
    </w:p>
    <w:p w14:paraId="736E9583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提交与撤回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</w:p>
    <w:p w14:paraId="668B458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（1）响应文件需在截止时间前提交至指定地点，逾期提交的拒收；</w:t>
      </w:r>
    </w:p>
    <w:p w14:paraId="58ED60E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（2）响应文件提交截止时间前，供应商可书面申请修改或撤回响应文件，修改后的响应文件需按规定密封提交；截止时间后不得修改或撤回。</w:t>
      </w:r>
    </w:p>
    <w:p w14:paraId="2BE9345C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第四部分 评分细则</w:t>
      </w:r>
    </w:p>
    <w:p w14:paraId="6549A3D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项目采用综合评分法，总分100分，磋商小组根据供应商响应文件进行独立评审打分，得分最高的供应商为第一成交候选人；得分相同的，按报价由低到高排序；报价仍相同的，按技术方案得分由高到低排序。具体评分标准如下：</w:t>
      </w:r>
    </w:p>
    <w:tbl>
      <w:tblPr>
        <w:tblStyle w:val="10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42"/>
        <w:gridCol w:w="689"/>
        <w:gridCol w:w="1410"/>
        <w:gridCol w:w="680"/>
        <w:gridCol w:w="4919"/>
      </w:tblGrid>
      <w:tr w14:paraId="6225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5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4F314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评分模块</w:t>
            </w:r>
          </w:p>
        </w:tc>
        <w:tc>
          <w:tcPr>
            <w:tcW w:w="68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AD85F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分值</w:t>
            </w:r>
          </w:p>
        </w:tc>
        <w:tc>
          <w:tcPr>
            <w:tcW w:w="14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FD09F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评分子项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51B04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子项分值</w:t>
            </w:r>
          </w:p>
        </w:tc>
        <w:tc>
          <w:tcPr>
            <w:tcW w:w="49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359C9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详细评分细则</w:t>
            </w:r>
          </w:p>
        </w:tc>
      </w:tr>
      <w:tr w14:paraId="4690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76927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技术方案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（35分）</w:t>
            </w:r>
          </w:p>
        </w:tc>
        <w:tc>
          <w:tcPr>
            <w:tcW w:w="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51D72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35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8B26A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系统架构合理性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0F292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7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C0E8D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优秀（6-7分）：架构贴合需求，采用主流成熟技术，分层清晰，文档完整严谨良好（3-5分）：架构基本匹配需求，技术选用合理，文档较完整一般（1-2分）：架构勉强适配，分层不清晰，文档有缺失0分：架构与需求不符，技术选用不当，无完整文档</w:t>
            </w:r>
          </w:p>
        </w:tc>
      </w:tr>
      <w:tr w14:paraId="396DA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3C6A0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A78F6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BE9DB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功能响应完整性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52F9A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10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85E9F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优秀（9-10分）：完全响应所有功能需求，提供合理优化方案，描述具体可落地良好（5-8分）：响应核心功能，非核心功能少量遗漏，描述较具体一般（2-4分）：响应主要功能，非核心功能遗漏多，描述较笼统0-1分：未响应核心功能，描述模糊，无法满足基本需求</w:t>
            </w:r>
          </w:p>
        </w:tc>
      </w:tr>
      <w:tr w14:paraId="580C3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06962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96CF5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65FA7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开发实施计划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96B5A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7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51D53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优秀（6-7分）：计划分阶段明确，节点、分工清晰，风险应对方案完善，预留现场沟通对接时间窗口良好（3-5分）：计划分阶段较明确，贴合工期，有主要风险应对措施，明确基础沟通机制一般（1-2分）：计划有大致阶段，内容不具体，风险应对措施简略，沟通安排不清晰0分：无清晰计划，未明确节点与内容，无风险应对措施</w:t>
            </w:r>
          </w:p>
        </w:tc>
      </w:tr>
      <w:tr w14:paraId="4EF63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D1378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173F5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9BF7E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数据安全方案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7B498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6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36396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优秀（5-6分）：覆盖数据全生命周期，采用多重安全技术，符合国标，应急方案完善良好（3-4分）：覆盖核心生命周期，有基础安全措施，符合国标，有基础应急方案一般（1-2分）：仅覆盖部分核心环节，安全措施单一，应急方案不完善0分：方案简略，无有效安全措施，无应急方案</w:t>
            </w:r>
          </w:p>
        </w:tc>
      </w:tr>
      <w:tr w14:paraId="00C0F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05CA8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8D942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50414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扩展性设计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49879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5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1C266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优秀（4-5分）：扩展性考虑充分，支持多维度扩展，对接方案成熟，升级成本低良好（2-3分）：基本满足扩展需求，核心模块可扩展，对接方案可行一般（1分）：扩展性考虑不足，仅少量功能可扩展，对接方案需验证0分：无扩展性设计，无法升级，无对接方案</w:t>
            </w:r>
          </w:p>
        </w:tc>
      </w:tr>
      <w:tr w14:paraId="1FC3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69D6E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商务部分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（20分）</w:t>
            </w:r>
          </w:p>
        </w:tc>
        <w:tc>
          <w:tcPr>
            <w:tcW w:w="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76D75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20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CF0FC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行业业绩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6E668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3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F8C2D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近3年承接同类项目（与本项目业务、技术需求一致），每提供1份合同复印件得3分，最高3分注：合同需加盖公章、关键信息无遮挡，否则视为无效业绩</w:t>
            </w:r>
          </w:p>
        </w:tc>
      </w:tr>
      <w:tr w14:paraId="57A9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4E2F7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BD4F4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A97EE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项目团队开发经验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C7DB2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17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D7327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项目经理（9分）：持相关专业技术职称得1分；近3年任同类项目项目经理，每提供1份证明得2分（最高4分）；承诺项目全周期24小时内响应沟通需求、48小时内可到达现场对接（提供书面承诺函）得4分核心开发人员（8分）：核心团队至少3人，每人持相关技能证书得1分（最高3分），每人提供同类项目开发经验证明得1分（最高5分）</w:t>
            </w:r>
          </w:p>
        </w:tc>
      </w:tr>
      <w:tr w14:paraId="3E5B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4FE2C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报价得分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（35分）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AC568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35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E8430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低价优先法评分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3780B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35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BBFD5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1. 基准价：所有有效响应文件中的最低报价2. 得分计算公式：报价得分=（基准价/响应报价）×35，保留2位小数3. 注：无效报价不计入基准价，本项得0分；多家为基准价均得35分</w:t>
            </w:r>
          </w:p>
        </w:tc>
      </w:tr>
      <w:tr w14:paraId="412C7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B394E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售后服务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（10分）</w:t>
            </w:r>
          </w:p>
        </w:tc>
        <w:tc>
          <w:tcPr>
            <w:tcW w:w="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8B920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BAE12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售后服务方案完整性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57272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2C1A4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优秀（2分）：方案覆盖全流程售后内容，含专属对接机制，标准、流程、责任界定清晰，可落地良好（1分）：方案基本完整，覆盖核心内容，明确基础对接流程0分：方案内容简略/无完整方案，未明确核心售后内容与标准</w:t>
            </w:r>
          </w:p>
        </w:tc>
      </w:tr>
      <w:tr w14:paraId="3DA0F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285A5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9716A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E80FB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免费服务周期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A735E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82871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免费质保及技术服务周期≥3年得2分；≥2年得1分；＜2年得0分注：需明确服务周期起止时间与范围，无承诺视为无效</w:t>
            </w:r>
          </w:p>
        </w:tc>
      </w:tr>
      <w:tr w14:paraId="1FB87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530E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2C960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CEA05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售后服务团队配置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4C1C9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C4950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配备专职售后团队，明确对接负责人，提供人员社保证明+专业能力证明得2分；配置不完整/无证明得0-1分</w:t>
            </w:r>
          </w:p>
        </w:tc>
      </w:tr>
      <w:tr w14:paraId="6C402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217AD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AA454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339EE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应急响应能力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B7A53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97D7E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1小时内响应+4小时内到现场（故障处理/沟通对接），得2分；超出上述时限得0分注：需提供应急响应承诺函，明确响应方式与时限</w:t>
            </w:r>
          </w:p>
        </w:tc>
      </w:tr>
      <w:tr w14:paraId="606FD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4E605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4E3EF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96DFD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培训服务方案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42EE6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2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75094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优秀（2分）：制定个性化培训方案，含现场培训选项，明确考核标准，满足操作与维护需求良好（1分）：制定基础培训方案，明确核心内容，支持线上/线下对接培训0分：未制定方案，或方案无实际可操作性</w:t>
            </w:r>
          </w:p>
        </w:tc>
      </w:tr>
    </w:tbl>
    <w:p w14:paraId="0B641DB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80D01EA">
      <w:pPr>
        <w:pStyle w:val="3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第五部分 附件</w:t>
      </w:r>
    </w:p>
    <w:p w14:paraId="49B33C5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附件1：响应函</w:t>
      </w:r>
    </w:p>
    <w:p w14:paraId="4F121BF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附件2：法定代表人身份证明</w:t>
      </w:r>
    </w:p>
    <w:p w14:paraId="7634072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附件3：法定代表人授权委托书</w:t>
      </w:r>
    </w:p>
    <w:p w14:paraId="261D72B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附件4：报价明细表</w:t>
      </w:r>
    </w:p>
    <w:p w14:paraId="65F4AF3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附件5：技术规格响应/偏离表</w:t>
      </w:r>
    </w:p>
    <w:p w14:paraId="1CE66DD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附件6：商务条款响应/偏离表</w:t>
      </w:r>
    </w:p>
    <w:p w14:paraId="5DBC1077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附件1：响应函</w:t>
      </w:r>
    </w:p>
    <w:p w14:paraId="17C4E58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致：绵阳市涪江中药饮片有限责任公司</w:t>
      </w:r>
    </w:p>
    <w:p w14:paraId="679335B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我方已仔细阅读贵公司“微信公众号+小程序一体化平台建设项目”磋商文件（项目编号：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分解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YPGSZB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-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03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），完全理解并接受文件全部条款和要求，决定参加本次竞争性磋商，并作出如下承诺：</w:t>
      </w:r>
    </w:p>
    <w:p w14:paraId="3C9F0387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我方同意响应文件有效期自响应文件提交截止之日起90天。</w:t>
      </w:r>
    </w:p>
    <w:p w14:paraId="5493642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我方承诺所提供的响应文件及相关材料真实、有效、完整，无虚假陈述、误导性陈述或重大遗漏。</w:t>
      </w:r>
    </w:p>
    <w:p w14:paraId="7769FBF4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我方承诺按磋商文件要求及响应文件承诺提供服务，若中标，将严格履行合同义务，按时、按质、按量完成项目交付及售后服务。</w:t>
      </w:r>
    </w:p>
    <w:p w14:paraId="4332B74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我方承诺报价不超出本项目最高限价（人民币98000元），报价真实、合理，不存在低于成本价竞争的情形。</w:t>
      </w:r>
    </w:p>
    <w:p w14:paraId="2BAD4212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我方承诺遵守竞争性磋商相关法律法规及磋商文件规定，若存在违规行为，自愿承担相应法律责任。</w:t>
      </w:r>
    </w:p>
    <w:p w14:paraId="22C692DB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我方同意磋商文件、响应文件及磋商过程中的澄清、承诺文件作为合同的组成部分，对双方具有法律约束力。</w:t>
      </w:r>
    </w:p>
    <w:p w14:paraId="58612795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我方愿意承担与本次磋商相关的一切费用，无论磋商结果如何，贵公司无需向我方支付任何费用。</w:t>
      </w:r>
    </w:p>
    <w:p w14:paraId="6A96CEE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供应商名称（公章）：____________________</w:t>
      </w:r>
    </w:p>
    <w:p w14:paraId="4DFB160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法定代表人或授权委托人（签字）：____________________</w:t>
      </w:r>
    </w:p>
    <w:p w14:paraId="6652229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57CB5D98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附件2：法定代表人身份证明</w:t>
      </w:r>
    </w:p>
    <w:p w14:paraId="34DD5FF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致：绵阳市涪江中药饮片有限责任公司</w:t>
      </w:r>
    </w:p>
    <w:p w14:paraId="1439042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单位名称：____________________</w:t>
      </w:r>
    </w:p>
    <w:p w14:paraId="748CA5B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单位性质：____________________</w:t>
      </w:r>
    </w:p>
    <w:p w14:paraId="1AB6081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地址：____________________</w:t>
      </w:r>
    </w:p>
    <w:p w14:paraId="186D464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成立时间：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年____月____日</w:t>
      </w:r>
    </w:p>
    <w:p w14:paraId="0AA5722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经营期限：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______________</w:t>
      </w:r>
    </w:p>
    <w:p w14:paraId="17A3C40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姓名：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，性别：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，年龄：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，职务：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，身份证号码：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，系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（供应商名称）的法定代表人，有权代表本公司参加贵公司“微信公众号+小程序一体化平台建设项目”（项目编号：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YPGSZB-03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）的竞争性磋商活动，签署响应文件、合同及其他相关文件，处理与本次项目相关的一切事务。</w:t>
      </w:r>
    </w:p>
    <w:p w14:paraId="72FBABF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特此证明。</w:t>
      </w:r>
    </w:p>
    <w:p w14:paraId="1A06A72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供应商名称（公章）：____________________</w:t>
      </w:r>
    </w:p>
    <w:p w14:paraId="499658D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4828BA1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附：法定代表人身份证正反面复印件（加盖公章）</w:t>
      </w:r>
    </w:p>
    <w:p w14:paraId="5C7BC779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附件3：法定代表人授权委托书</w:t>
      </w:r>
    </w:p>
    <w:p w14:paraId="765ABE2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致：绵阳市涪江中药饮片有限责任公司</w:t>
      </w:r>
    </w:p>
    <w:p w14:paraId="13CFBAB1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授权书声明：注册于____________________（国家/地区）的____________________（供应商名称）的法定代表人______（姓名、职务），授权______（被授权人姓名、职务），身份证号码：____________________，作为本公司的合法代理人，参加贵公司“微信公众号+小程序一体化平台建设项目”（项目编号：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YPGSZB-03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）的竞争性磋商活动，以本公司名义处理与本次项目相关的一切事务，包括但不限于签署响应文件、参加磋商、澄清说明、签订合同等。</w:t>
      </w:r>
    </w:p>
    <w:p w14:paraId="1BB7442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代理人在授权范围内的所有行为均代表本公司，其产生的法律责任由本公司承担。</w:t>
      </w:r>
    </w:p>
    <w:p w14:paraId="3CC29CE0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授权期限：自______年____月____日至______年____月____日（与响应文件有效期一致）</w:t>
      </w:r>
    </w:p>
    <w:p w14:paraId="1A88A47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法定代表人（签字或盖章）：____________________</w:t>
      </w:r>
    </w:p>
    <w:p w14:paraId="7D55545C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被授权人（签字）：____________________</w:t>
      </w:r>
    </w:p>
    <w:p w14:paraId="2C3A9C06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供应商名称（公章）：____________________</w:t>
      </w:r>
    </w:p>
    <w:p w14:paraId="0C9A818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29E82878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附：法定代表人及被授权人身份证正反面复印件（加盖公章）</w:t>
      </w:r>
    </w:p>
    <w:p w14:paraId="4CF427AE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附件4：报价明细表</w:t>
      </w:r>
    </w:p>
    <w:p w14:paraId="5EF1D51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项目名称：绵阳市涪江中药饮片有限责任公司微信公众号+小程序一体化平台建设项目</w:t>
      </w:r>
    </w:p>
    <w:p w14:paraId="6C84D73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项目编号：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YPGSZB-03</w:t>
      </w:r>
    </w:p>
    <w:p w14:paraId="4AB29CD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最高限价：人民币98000元（大写：玖万捌仟元整）</w:t>
      </w:r>
    </w:p>
    <w:p w14:paraId="300A43E2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tbl>
      <w:tblPr>
        <w:tblStyle w:val="10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8"/>
        <w:gridCol w:w="2717"/>
        <w:gridCol w:w="788"/>
        <w:gridCol w:w="788"/>
        <w:gridCol w:w="1213"/>
        <w:gridCol w:w="1213"/>
        <w:gridCol w:w="1733"/>
      </w:tblGrid>
      <w:tr w14:paraId="34992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24594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序号</w:t>
            </w:r>
          </w:p>
        </w:tc>
        <w:tc>
          <w:tcPr>
            <w:tcW w:w="271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6A44D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服务内容</w:t>
            </w:r>
          </w:p>
        </w:tc>
        <w:tc>
          <w:tcPr>
            <w:tcW w:w="78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CB7E3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单位</w:t>
            </w:r>
          </w:p>
        </w:tc>
        <w:tc>
          <w:tcPr>
            <w:tcW w:w="78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E85FE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数量</w:t>
            </w:r>
          </w:p>
        </w:tc>
        <w:tc>
          <w:tcPr>
            <w:tcW w:w="12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BBBF0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单价</w:t>
            </w:r>
          </w:p>
          <w:p w14:paraId="303143D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（元）</w:t>
            </w:r>
          </w:p>
        </w:tc>
        <w:tc>
          <w:tcPr>
            <w:tcW w:w="12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3821C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合计</w:t>
            </w:r>
          </w:p>
          <w:p w14:paraId="2DA3D96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（元）</w:t>
            </w:r>
          </w:p>
        </w:tc>
        <w:tc>
          <w:tcPr>
            <w:tcW w:w="173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F6799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备注</w:t>
            </w:r>
          </w:p>
        </w:tc>
      </w:tr>
      <w:tr w14:paraId="61DD5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77D98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2DEC7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需求调研与方案设计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AA67B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C217A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DAECD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4FF57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84190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27F0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89A30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50C41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微信公众号功能开发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EF0C7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4CCA3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715C3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06BDF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EE944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B264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71AC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3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85A26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小程序商城功能开发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7C0E6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E79F6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122FE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F3080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989D0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3584E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ED4AD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5C978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共享中药房模块开发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8B8A0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A2D29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6DB4A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9102A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3BA98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17A6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7A846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5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84951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系统集成服务（支付、物流、代煎系统）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88BD4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77A85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92F29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A22CA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D80B7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C1DE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6884A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6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8DAB9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测试服务（功能、性能、安全）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3BBA6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6E114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515EF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DAC33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50239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3319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BE6AC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7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75F24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系统部署与调试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49E1E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C1FA5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B28CC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A088D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33F14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02CB7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14AC6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8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D7723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人员培训服务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BB37F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F0FF9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98472D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89927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D544B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63635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D70CBE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9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ACD84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售后服务（1年质保）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F2851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AEFC9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B4388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31795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043DF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110CF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E0C7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10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C59B0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税费（增值税）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B83010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5B12A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8442E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B6939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DF037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395DF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B9940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37AEF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13B4C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B245D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D5AE8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7FB619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1EA28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</w:tr>
      <w:tr w14:paraId="5B2A7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F22E6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DF119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总报价（大写）：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总报价（小写）：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583D8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-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29D7E7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-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AF42F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-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0C2DB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6AA6F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注：总报价不得超出98000元</w:t>
            </w:r>
          </w:p>
        </w:tc>
      </w:tr>
    </w:tbl>
    <w:p w14:paraId="3EDA363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供应商名称（公章）：____________________</w:t>
      </w:r>
    </w:p>
    <w:p w14:paraId="7A72CFB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法定代表人或授权委托人（签字）：____________________</w:t>
      </w:r>
    </w:p>
    <w:p w14:paraId="28FE8D9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661BEC9D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附件5：技术规格响应/偏离表</w:t>
      </w:r>
    </w:p>
    <w:p w14:paraId="09B18EAF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项目名称：绵阳市涪江中药饮片有限责任公司微信公众号+小程序一体化平台建设项目</w:t>
      </w:r>
    </w:p>
    <w:p w14:paraId="763BEC2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项目编号：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YPGSZB-03</w:t>
      </w:r>
    </w:p>
    <w:tbl>
      <w:tblPr>
        <w:tblStyle w:val="10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7"/>
        <w:gridCol w:w="2645"/>
        <w:gridCol w:w="1936"/>
        <w:gridCol w:w="3265"/>
        <w:gridCol w:w="698"/>
      </w:tblGrid>
      <w:tr w14:paraId="61B0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69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DAECF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序号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FABD61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磋商文件技术条款编号及内容</w:t>
            </w:r>
          </w:p>
        </w:tc>
        <w:tc>
          <w:tcPr>
            <w:tcW w:w="193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FA404B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供应商响应条款内容</w:t>
            </w:r>
          </w:p>
        </w:tc>
        <w:tc>
          <w:tcPr>
            <w:tcW w:w="32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7228E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响应/偏离</w:t>
            </w:r>
          </w:p>
          <w:p w14:paraId="3E85F958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（无偏离/正偏离/负偏离）</w:t>
            </w:r>
          </w:p>
        </w:tc>
        <w:tc>
          <w:tcPr>
            <w:tcW w:w="69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038E83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  <w:t>说明</w:t>
            </w:r>
          </w:p>
        </w:tc>
      </w:tr>
      <w:tr w14:paraId="2A168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1438B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B511C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7CFF12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59F88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2899C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3772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FF306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F73CC6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8F0D3F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829E9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12412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22B3C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3657EC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595A4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6116CA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A879E5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F2E724"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</w:tr>
    </w:tbl>
    <w:p w14:paraId="4C3EC78D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供应商名称（公章）：____________________</w:t>
      </w:r>
    </w:p>
    <w:p w14:paraId="7709EB8A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法定代表人或授权委托人（签字）：____________________</w:t>
      </w:r>
    </w:p>
    <w:p w14:paraId="11C1C28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65F180BB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附件6：商务条款响应/偏离表</w:t>
      </w:r>
    </w:p>
    <w:p w14:paraId="538FFC83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项目名称：绵阳市涪江中药饮片有限责任公司微信公众号+小程序一体化平台建设项目</w:t>
      </w:r>
    </w:p>
    <w:p w14:paraId="2564F7E4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项目编号：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YPGSZB-03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30"/>
        <w:gridCol w:w="1830"/>
        <w:gridCol w:w="1830"/>
        <w:gridCol w:w="1946"/>
        <w:gridCol w:w="1830"/>
      </w:tblGrid>
      <w:tr w14:paraId="78C21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9554C3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序号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930E6D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磋商文件商务条款编号及内容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1EE41B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供应商响应条款内容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81DC68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响应/偏离（无偏离/正偏离/负偏离）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D3B7B8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说明</w:t>
            </w:r>
          </w:p>
        </w:tc>
      </w:tr>
      <w:tr w14:paraId="4490A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E83DAE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34891E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7EF8CD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F6085B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167CF9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696D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0583CC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182D81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D6DBD0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4DAEAB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266D62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0C65F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93CD55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F74EE5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C0330D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8B0EC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E45BA4">
            <w:pPr>
              <w:pStyle w:val="16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...</w:t>
            </w:r>
          </w:p>
        </w:tc>
      </w:tr>
    </w:tbl>
    <w:p w14:paraId="5D6284EB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供应商名称（公章）：____________________</w:t>
      </w:r>
    </w:p>
    <w:p w14:paraId="5E0FEA47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法定代表人或授权委托人（签字）：____________________</w:t>
      </w:r>
    </w:p>
    <w:p w14:paraId="438CA2E9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日期：______年____月____日</w:t>
      </w:r>
    </w:p>
    <w:p w14:paraId="07E5D9F3">
      <w:pPr>
        <w:pStyle w:val="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最终说明</w:t>
      </w:r>
    </w:p>
    <w:p w14:paraId="2D58FDF0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本磋商文件未尽事宜，由采购方与供应商协商确定；</w:t>
      </w:r>
    </w:p>
    <w:p w14:paraId="4A5C8C5E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采购方有权根据实际情况对磋商文件进行修改或补充，修改或补充文件将以书面形式通知所有已获取磋商文件的供应商；</w:t>
      </w:r>
    </w:p>
    <w:p w14:paraId="6F70B8DF">
      <w:pPr>
        <w:pStyle w:val="16"/>
        <w:numPr>
          <w:ilvl w:val="0"/>
          <w:numId w:val="1"/>
        </w:num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本磋商文件由绵阳市涪江中药饮片有限责任公司负责解释。</w:t>
      </w:r>
    </w:p>
    <w:p w14:paraId="236018B6">
      <w:pPr>
        <w:pStyle w:val="16"/>
        <w:jc w:val="right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绵阳市涪江中药饮片有限责任公司</w:t>
      </w:r>
    </w:p>
    <w:p w14:paraId="2004FEFD">
      <w:pPr>
        <w:pStyle w:val="16"/>
        <w:jc w:val="right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2026年0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月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15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日</w:t>
      </w:r>
    </w:p>
    <w:p w14:paraId="749B498E">
      <w:pPr>
        <w:pStyle w:val="16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03F48E-5A6C-4382-A543-ED6CAEC10DB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34F26EA-7E1F-4BD7-BE25-360AF235CCF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rFonts w:hint="default" w:ascii="黑体" w:hAnsi="黑体" w:eastAsia="黑体" w:cs="黑体"/>
        <w:color w:val="000000" w:themeColor="text1"/>
        <w:sz w:val="28"/>
        <w:szCs w:val="28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1591B34"/>
    <w:rsid w:val="03C91EE4"/>
    <w:rsid w:val="05043648"/>
    <w:rsid w:val="055D00F4"/>
    <w:rsid w:val="278E7404"/>
    <w:rsid w:val="48783F59"/>
    <w:rsid w:val="66C32FC7"/>
    <w:rsid w:val="69706409"/>
    <w:rsid w:val="6A4B04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25</Pages>
  <Words>8580</Words>
  <Characters>8969</Characters>
  <TotalTime>3</TotalTime>
  <ScaleCrop>false</ScaleCrop>
  <LinksUpToDate>false</LinksUpToDate>
  <CharactersWithSpaces>8990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2026-01-12T02:03:00Z</dcterms:created>
  <dc:creator>Un-named</dc:creator>
  <cp:lastModifiedBy>李小柏</cp:lastModifiedBy>
  <dcterms:modified xsi:type="dcterms:W3CDTF">2026-01-15T07:43:24Z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eyJoZGlkIjoiNjcxZDgxNmY4MmI4NGNmMzQ3N2Q4YmUzM2Y2ODhlYzQiLCJ1c2VySWQiOiI3NDU0ODM5MjgifQ==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99A9BF5F425245F49EF45A291CD54C88_13</vt:lpwstr>
  </property>
</Properties>
</file>