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4AF47">
      <w:pPr>
        <w:adjustRightInd w:val="0"/>
        <w:snapToGrid w:val="0"/>
        <w:spacing w:line="360" w:lineRule="auto"/>
        <w:rPr>
          <w:rFonts w:asciiTheme="majorEastAsia" w:hAnsiTheme="majorEastAsia" w:eastAsiaTheme="majorEastAsia"/>
          <w:b/>
          <w:sz w:val="28"/>
          <w:szCs w:val="28"/>
        </w:rPr>
      </w:pPr>
      <w:r>
        <w:rPr>
          <w:rFonts w:hint="eastAsia" w:asciiTheme="majorEastAsia" w:hAnsiTheme="majorEastAsia" w:eastAsiaTheme="majorEastAsia"/>
          <w:b/>
          <w:sz w:val="28"/>
          <w:szCs w:val="28"/>
        </w:rPr>
        <w:t>附件</w:t>
      </w:r>
      <w:r>
        <w:rPr>
          <w:rFonts w:asciiTheme="majorEastAsia" w:hAnsiTheme="majorEastAsia" w:eastAsiaTheme="majorEastAsia"/>
          <w:b/>
          <w:sz w:val="28"/>
          <w:szCs w:val="28"/>
        </w:rPr>
        <w:t>1  报价表</w:t>
      </w:r>
    </w:p>
    <w:p w14:paraId="50D5BA25">
      <w:pPr>
        <w:spacing w:line="360" w:lineRule="auto"/>
        <w:ind w:firstLine="280" w:firstLineChars="100"/>
        <w:rPr>
          <w:rFonts w:asciiTheme="majorEastAsia" w:hAnsiTheme="majorEastAsia" w:eastAsiaTheme="majorEastAsia"/>
          <w:b/>
          <w:sz w:val="28"/>
          <w:szCs w:val="28"/>
        </w:rPr>
      </w:pPr>
      <w:r>
        <w:rPr>
          <w:rFonts w:hint="eastAsia" w:hAnsi="宋体"/>
          <w:sz w:val="28"/>
          <w:szCs w:val="28"/>
        </w:rPr>
        <w:t>根据服务内容及需求，医院现合同内公司目前配置了</w:t>
      </w:r>
      <w:r>
        <w:rPr>
          <w:rFonts w:hAnsi="宋体"/>
          <w:sz w:val="28"/>
          <w:szCs w:val="28"/>
        </w:rPr>
        <w:t>125人的保洁、中央运输、护工和电梯工、水电工等服务岗位人数</w:t>
      </w:r>
      <w:r>
        <w:rPr>
          <w:rFonts w:hint="eastAsia" w:hAnsi="宋体"/>
          <w:sz w:val="28"/>
          <w:szCs w:val="28"/>
        </w:rPr>
        <w:t>，各参加调研单位自行考虑人数，医院现况仅供参考。调研参与人应按照医院设置的服务内容及需求完成全部工作内容，在充分考虑全部成本及合理利润的情况下合理报价。所有报价均为包干价，医院不再另行支付其他费用。</w:t>
      </w:r>
    </w:p>
    <w:p w14:paraId="05AA95D2">
      <w:pPr>
        <w:spacing w:line="360" w:lineRule="auto"/>
        <w:rPr>
          <w:rFonts w:hAnsi="宋体"/>
          <w:sz w:val="28"/>
          <w:szCs w:val="28"/>
        </w:rPr>
      </w:pPr>
      <w:r>
        <w:rPr>
          <w:rFonts w:hint="eastAsia" w:hAnsi="宋体"/>
          <w:sz w:val="28"/>
          <w:szCs w:val="28"/>
        </w:rPr>
        <w:t>人员、设备配置情况及报价表</w:t>
      </w:r>
    </w:p>
    <w:tbl>
      <w:tblPr>
        <w:tblStyle w:val="2"/>
        <w:tblW w:w="10065"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702"/>
        <w:gridCol w:w="1559"/>
        <w:gridCol w:w="2126"/>
        <w:gridCol w:w="1276"/>
        <w:gridCol w:w="2693"/>
      </w:tblGrid>
      <w:tr w14:paraId="350E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709" w:type="dxa"/>
            <w:tcBorders>
              <w:top w:val="single" w:color="auto" w:sz="4" w:space="0"/>
              <w:left w:val="single" w:color="auto" w:sz="4" w:space="0"/>
              <w:bottom w:val="single" w:color="auto" w:sz="4" w:space="0"/>
              <w:right w:val="single" w:color="auto" w:sz="4" w:space="0"/>
            </w:tcBorders>
            <w:vAlign w:val="center"/>
          </w:tcPr>
          <w:p w14:paraId="40B8E45B">
            <w:pPr>
              <w:spacing w:line="320" w:lineRule="exact"/>
              <w:jc w:val="center"/>
              <w:rPr>
                <w:rFonts w:hAnsi="宋体"/>
                <w:sz w:val="28"/>
                <w:szCs w:val="28"/>
              </w:rPr>
            </w:pPr>
            <w:bookmarkStart w:id="0" w:name="OLE_LINK66"/>
            <w:bookmarkStart w:id="1" w:name="OLE_LINK40"/>
            <w:r>
              <w:rPr>
                <w:rFonts w:hint="eastAsia" w:hAnsi="宋体"/>
                <w:sz w:val="28"/>
                <w:szCs w:val="28"/>
              </w:rPr>
              <w:t>序号</w:t>
            </w:r>
          </w:p>
        </w:tc>
        <w:tc>
          <w:tcPr>
            <w:tcW w:w="1702" w:type="dxa"/>
            <w:tcBorders>
              <w:top w:val="single" w:color="auto" w:sz="4" w:space="0"/>
              <w:left w:val="single" w:color="auto" w:sz="4" w:space="0"/>
              <w:bottom w:val="single" w:color="auto" w:sz="4" w:space="0"/>
              <w:right w:val="single" w:color="auto" w:sz="4" w:space="0"/>
            </w:tcBorders>
            <w:vAlign w:val="center"/>
          </w:tcPr>
          <w:p w14:paraId="0B196F57">
            <w:pPr>
              <w:spacing w:line="320" w:lineRule="exact"/>
              <w:jc w:val="center"/>
              <w:rPr>
                <w:rFonts w:hAnsi="宋体"/>
                <w:sz w:val="28"/>
                <w:szCs w:val="28"/>
              </w:rPr>
            </w:pPr>
          </w:p>
        </w:tc>
        <w:tc>
          <w:tcPr>
            <w:tcW w:w="1559" w:type="dxa"/>
            <w:tcBorders>
              <w:top w:val="single" w:color="auto" w:sz="4" w:space="0"/>
              <w:left w:val="single" w:color="auto" w:sz="4" w:space="0"/>
              <w:right w:val="single" w:color="auto" w:sz="4" w:space="0"/>
            </w:tcBorders>
            <w:vAlign w:val="center"/>
          </w:tcPr>
          <w:p w14:paraId="7CA6CDA1">
            <w:pPr>
              <w:spacing w:line="320" w:lineRule="exact"/>
              <w:jc w:val="center"/>
              <w:rPr>
                <w:rFonts w:hAnsi="宋体"/>
                <w:sz w:val="28"/>
                <w:szCs w:val="28"/>
              </w:rPr>
            </w:pPr>
            <w:r>
              <w:rPr>
                <w:rFonts w:hint="eastAsia" w:hAnsi="宋体"/>
                <w:sz w:val="28"/>
                <w:szCs w:val="28"/>
              </w:rPr>
              <w:t>配置人数或者台数</w:t>
            </w:r>
          </w:p>
        </w:tc>
        <w:tc>
          <w:tcPr>
            <w:tcW w:w="2126" w:type="dxa"/>
            <w:tcBorders>
              <w:top w:val="single" w:color="auto" w:sz="4" w:space="0"/>
              <w:left w:val="single" w:color="auto" w:sz="4" w:space="0"/>
              <w:right w:val="single" w:color="auto" w:sz="4" w:space="0"/>
            </w:tcBorders>
            <w:vAlign w:val="center"/>
          </w:tcPr>
          <w:p w14:paraId="1EB50378">
            <w:pPr>
              <w:spacing w:line="320" w:lineRule="exact"/>
              <w:jc w:val="center"/>
              <w:rPr>
                <w:rFonts w:ascii="仿宋" w:hAnsi="仿宋" w:eastAsia="仿宋" w:cs="仿宋"/>
                <w:sz w:val="28"/>
                <w:szCs w:val="28"/>
              </w:rPr>
            </w:pPr>
            <w:r>
              <w:rPr>
                <w:rFonts w:hint="eastAsia" w:ascii="仿宋" w:hAnsi="仿宋" w:eastAsia="仿宋" w:cs="仿宋"/>
                <w:sz w:val="28"/>
                <w:szCs w:val="28"/>
              </w:rPr>
              <w:t>“人工费”（元</w:t>
            </w:r>
            <w:r>
              <w:rPr>
                <w:rFonts w:ascii="仿宋" w:hAnsi="仿宋" w:eastAsia="仿宋" w:cs="仿宋"/>
                <w:sz w:val="28"/>
                <w:szCs w:val="28"/>
              </w:rPr>
              <w:t>/月/人</w:t>
            </w:r>
            <w:r>
              <w:rPr>
                <w:rFonts w:hint="eastAsia" w:ascii="仿宋" w:hAnsi="仿宋" w:eastAsia="仿宋" w:cs="仿宋"/>
                <w:sz w:val="28"/>
                <w:szCs w:val="28"/>
              </w:rPr>
              <w:t>）</w:t>
            </w:r>
          </w:p>
          <w:p w14:paraId="605F748C">
            <w:pPr>
              <w:spacing w:line="320" w:lineRule="exact"/>
              <w:jc w:val="center"/>
              <w:rPr>
                <w:rFonts w:hAnsi="宋体" w:eastAsia="仿宋"/>
                <w:spacing w:val="-20"/>
                <w:sz w:val="28"/>
                <w:szCs w:val="28"/>
              </w:rPr>
            </w:pPr>
            <w:r>
              <w:rPr>
                <w:rFonts w:hint="eastAsia" w:ascii="仿宋" w:hAnsi="仿宋" w:eastAsia="仿宋" w:cs="仿宋"/>
                <w:sz w:val="28"/>
                <w:szCs w:val="28"/>
              </w:rPr>
              <w:t>）或者设备设施、用品耗材费用（元</w:t>
            </w:r>
            <w:r>
              <w:rPr>
                <w:rFonts w:ascii="仿宋" w:hAnsi="仿宋" w:eastAsia="仿宋" w:cs="仿宋"/>
                <w:sz w:val="28"/>
                <w:szCs w:val="28"/>
              </w:rPr>
              <w:t>/月</w:t>
            </w:r>
            <w:r>
              <w:rPr>
                <w:rFonts w:hint="eastAsia" w:ascii="仿宋" w:hAnsi="仿宋" w:eastAsia="仿宋" w:cs="仿宋"/>
                <w:sz w:val="28"/>
                <w:szCs w:val="28"/>
              </w:rPr>
              <w:t>）</w:t>
            </w:r>
          </w:p>
        </w:tc>
        <w:tc>
          <w:tcPr>
            <w:tcW w:w="1276" w:type="dxa"/>
            <w:tcBorders>
              <w:top w:val="single" w:color="auto" w:sz="4" w:space="0"/>
              <w:left w:val="single" w:color="auto" w:sz="4" w:space="0"/>
              <w:right w:val="single" w:color="auto" w:sz="4" w:space="0"/>
            </w:tcBorders>
            <w:vAlign w:val="center"/>
          </w:tcPr>
          <w:p w14:paraId="3D856F1C">
            <w:pPr>
              <w:jc w:val="center"/>
              <w:rPr>
                <w:rFonts w:hAnsi="宋体"/>
                <w:sz w:val="28"/>
                <w:szCs w:val="28"/>
              </w:rPr>
            </w:pPr>
            <w:r>
              <w:rPr>
                <w:rFonts w:hint="eastAsia" w:hAnsi="宋体"/>
                <w:spacing w:val="-20"/>
                <w:sz w:val="28"/>
                <w:szCs w:val="28"/>
              </w:rPr>
              <w:t>年合计费用</w:t>
            </w:r>
            <w:r>
              <w:rPr>
                <w:rFonts w:hAnsi="宋体"/>
                <w:spacing w:val="-20"/>
                <w:sz w:val="28"/>
                <w:szCs w:val="28"/>
              </w:rPr>
              <w:t>(元)</w:t>
            </w:r>
          </w:p>
        </w:tc>
        <w:tc>
          <w:tcPr>
            <w:tcW w:w="2693" w:type="dxa"/>
            <w:tcBorders>
              <w:top w:val="single" w:color="auto" w:sz="4" w:space="0"/>
              <w:left w:val="single" w:color="auto" w:sz="4" w:space="0"/>
              <w:right w:val="single" w:color="auto" w:sz="4" w:space="0"/>
            </w:tcBorders>
            <w:vAlign w:val="center"/>
          </w:tcPr>
          <w:p w14:paraId="304E859B">
            <w:pPr>
              <w:spacing w:line="320" w:lineRule="exact"/>
              <w:jc w:val="center"/>
              <w:rPr>
                <w:rFonts w:hAnsi="宋体"/>
                <w:sz w:val="28"/>
                <w:szCs w:val="28"/>
              </w:rPr>
            </w:pPr>
            <w:r>
              <w:rPr>
                <w:rFonts w:hint="eastAsia" w:hAnsi="宋体"/>
                <w:sz w:val="28"/>
                <w:szCs w:val="28"/>
              </w:rPr>
              <w:t>备注</w:t>
            </w:r>
          </w:p>
        </w:tc>
      </w:tr>
      <w:tr w14:paraId="0B52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trPr>
        <w:tc>
          <w:tcPr>
            <w:tcW w:w="709" w:type="dxa"/>
            <w:tcBorders>
              <w:top w:val="single" w:color="auto" w:sz="4" w:space="0"/>
              <w:left w:val="single" w:color="auto" w:sz="4" w:space="0"/>
              <w:right w:val="single" w:color="auto" w:sz="4" w:space="0"/>
            </w:tcBorders>
            <w:vAlign w:val="center"/>
          </w:tcPr>
          <w:p w14:paraId="1D80638D">
            <w:pPr>
              <w:widowControl/>
              <w:jc w:val="left"/>
              <w:rPr>
                <w:rFonts w:hAnsi="宋体"/>
                <w:sz w:val="28"/>
                <w:szCs w:val="28"/>
              </w:rPr>
            </w:pPr>
            <w:r>
              <w:rPr>
                <w:rFonts w:hAnsi="宋体"/>
                <w:sz w:val="28"/>
                <w:szCs w:val="28"/>
              </w:rPr>
              <w:t xml:space="preserve">1 </w:t>
            </w:r>
          </w:p>
        </w:tc>
        <w:tc>
          <w:tcPr>
            <w:tcW w:w="1702" w:type="dxa"/>
            <w:tcBorders>
              <w:top w:val="single" w:color="auto" w:sz="4" w:space="0"/>
              <w:left w:val="single" w:color="auto" w:sz="4" w:space="0"/>
              <w:right w:val="single" w:color="auto" w:sz="4" w:space="0"/>
            </w:tcBorders>
            <w:vAlign w:val="center"/>
          </w:tcPr>
          <w:p w14:paraId="55332E39">
            <w:pPr>
              <w:spacing w:line="320" w:lineRule="exact"/>
              <w:jc w:val="center"/>
              <w:rPr>
                <w:rFonts w:hAnsi="宋体"/>
                <w:sz w:val="28"/>
                <w:szCs w:val="28"/>
              </w:rPr>
            </w:pPr>
            <w:r>
              <w:rPr>
                <w:rFonts w:hint="eastAsia" w:ascii="仿宋" w:hAnsi="仿宋" w:eastAsia="仿宋" w:cs="仿宋"/>
                <w:sz w:val="28"/>
                <w:szCs w:val="28"/>
              </w:rPr>
              <w:t>人工费</w:t>
            </w:r>
          </w:p>
        </w:tc>
        <w:tc>
          <w:tcPr>
            <w:tcW w:w="1559" w:type="dxa"/>
            <w:tcBorders>
              <w:top w:val="single" w:color="auto" w:sz="4" w:space="0"/>
              <w:left w:val="single" w:color="auto" w:sz="4" w:space="0"/>
              <w:right w:val="single" w:color="auto" w:sz="4" w:space="0"/>
            </w:tcBorders>
            <w:vAlign w:val="center"/>
          </w:tcPr>
          <w:p w14:paraId="3DC1CB80">
            <w:pPr>
              <w:spacing w:line="320" w:lineRule="exact"/>
              <w:jc w:val="center"/>
              <w:rPr>
                <w:rFonts w:hAnsi="宋体"/>
                <w:sz w:val="21"/>
                <w:szCs w:val="21"/>
              </w:rPr>
            </w:pPr>
            <w:r>
              <w:rPr>
                <w:rFonts w:hint="eastAsia" w:hAnsi="宋体"/>
                <w:sz w:val="21"/>
                <w:szCs w:val="21"/>
              </w:rPr>
              <w:t>填写人数</w:t>
            </w:r>
          </w:p>
        </w:tc>
        <w:tc>
          <w:tcPr>
            <w:tcW w:w="2126" w:type="dxa"/>
            <w:tcBorders>
              <w:top w:val="single" w:color="auto" w:sz="4" w:space="0"/>
              <w:left w:val="single" w:color="auto" w:sz="4" w:space="0"/>
              <w:right w:val="single" w:color="auto" w:sz="4" w:space="0"/>
            </w:tcBorders>
            <w:vAlign w:val="center"/>
          </w:tcPr>
          <w:p w14:paraId="69F5C8EE">
            <w:pPr>
              <w:spacing w:line="320" w:lineRule="exact"/>
              <w:jc w:val="center"/>
              <w:rPr>
                <w:rFonts w:hAnsi="宋体"/>
                <w:sz w:val="28"/>
                <w:szCs w:val="28"/>
              </w:rPr>
            </w:pPr>
          </w:p>
        </w:tc>
        <w:tc>
          <w:tcPr>
            <w:tcW w:w="1276" w:type="dxa"/>
            <w:tcBorders>
              <w:top w:val="single" w:color="auto" w:sz="4" w:space="0"/>
              <w:left w:val="single" w:color="auto" w:sz="4" w:space="0"/>
              <w:right w:val="single" w:color="auto" w:sz="4" w:space="0"/>
            </w:tcBorders>
            <w:vAlign w:val="center"/>
          </w:tcPr>
          <w:p w14:paraId="02C5C0B9">
            <w:pPr>
              <w:widowControl/>
              <w:jc w:val="center"/>
              <w:rPr>
                <w:rFonts w:hAnsi="宋体"/>
                <w:spacing w:val="-20"/>
                <w:sz w:val="28"/>
                <w:szCs w:val="28"/>
              </w:rPr>
            </w:pPr>
          </w:p>
        </w:tc>
        <w:tc>
          <w:tcPr>
            <w:tcW w:w="2693" w:type="dxa"/>
            <w:tcBorders>
              <w:top w:val="single" w:color="auto" w:sz="4" w:space="0"/>
              <w:left w:val="single" w:color="auto" w:sz="4" w:space="0"/>
              <w:right w:val="single" w:color="auto" w:sz="4" w:space="0"/>
            </w:tcBorders>
            <w:vAlign w:val="center"/>
          </w:tcPr>
          <w:p w14:paraId="64FA0E1C">
            <w:pPr>
              <w:spacing w:line="320" w:lineRule="exact"/>
              <w:rPr>
                <w:rFonts w:hAnsi="宋体" w:cs="宋体"/>
                <w:sz w:val="28"/>
                <w:szCs w:val="28"/>
              </w:rPr>
            </w:pPr>
          </w:p>
        </w:tc>
      </w:tr>
      <w:tr w14:paraId="157BC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6" w:hRule="atLeast"/>
        </w:trPr>
        <w:tc>
          <w:tcPr>
            <w:tcW w:w="709" w:type="dxa"/>
            <w:vMerge w:val="restart"/>
            <w:tcBorders>
              <w:top w:val="single" w:color="auto" w:sz="4" w:space="0"/>
              <w:left w:val="single" w:color="auto" w:sz="4" w:space="0"/>
              <w:right w:val="single" w:color="auto" w:sz="4" w:space="0"/>
            </w:tcBorders>
            <w:vAlign w:val="center"/>
          </w:tcPr>
          <w:p w14:paraId="53A8141F">
            <w:pPr>
              <w:spacing w:line="320" w:lineRule="exact"/>
              <w:jc w:val="center"/>
              <w:rPr>
                <w:rFonts w:hAnsi="宋体"/>
                <w:sz w:val="28"/>
                <w:szCs w:val="28"/>
              </w:rPr>
            </w:pPr>
            <w:r>
              <w:rPr>
                <w:rFonts w:hAnsi="宋体"/>
                <w:sz w:val="28"/>
                <w:szCs w:val="28"/>
              </w:rPr>
              <w:t>2</w:t>
            </w:r>
          </w:p>
        </w:tc>
        <w:tc>
          <w:tcPr>
            <w:tcW w:w="1702" w:type="dxa"/>
            <w:vMerge w:val="restart"/>
            <w:tcBorders>
              <w:top w:val="single" w:color="auto" w:sz="4" w:space="0"/>
              <w:left w:val="single" w:color="auto" w:sz="4" w:space="0"/>
              <w:right w:val="single" w:color="auto" w:sz="4" w:space="0"/>
            </w:tcBorders>
            <w:vAlign w:val="center"/>
          </w:tcPr>
          <w:p w14:paraId="79E179C3">
            <w:pPr>
              <w:spacing w:line="320" w:lineRule="exact"/>
              <w:jc w:val="center"/>
              <w:rPr>
                <w:rFonts w:hAnsi="宋体"/>
                <w:sz w:val="28"/>
                <w:szCs w:val="28"/>
              </w:rPr>
            </w:pPr>
            <w:r>
              <w:rPr>
                <w:rFonts w:hint="eastAsia" w:hAnsi="宋体"/>
                <w:sz w:val="28"/>
                <w:szCs w:val="28"/>
              </w:rPr>
              <w:t>设备设施使用费</w:t>
            </w:r>
          </w:p>
        </w:tc>
        <w:tc>
          <w:tcPr>
            <w:tcW w:w="1559" w:type="dxa"/>
            <w:tcBorders>
              <w:top w:val="single" w:color="auto" w:sz="4" w:space="0"/>
              <w:left w:val="single" w:color="auto" w:sz="4" w:space="0"/>
              <w:bottom w:val="single" w:color="auto" w:sz="4" w:space="0"/>
              <w:right w:val="single" w:color="auto" w:sz="4" w:space="0"/>
            </w:tcBorders>
            <w:vAlign w:val="center"/>
          </w:tcPr>
          <w:p w14:paraId="63B09B11">
            <w:pPr>
              <w:spacing w:line="320" w:lineRule="exact"/>
              <w:jc w:val="center"/>
              <w:rPr>
                <w:rFonts w:hAnsi="宋体"/>
                <w:sz w:val="21"/>
                <w:szCs w:val="21"/>
              </w:rPr>
            </w:pPr>
            <w:r>
              <w:rPr>
                <w:rFonts w:hint="eastAsia" w:hAnsi="宋体"/>
                <w:sz w:val="21"/>
                <w:szCs w:val="21"/>
              </w:rPr>
              <w:t>洗地机（填写台数）</w:t>
            </w:r>
          </w:p>
        </w:tc>
        <w:tc>
          <w:tcPr>
            <w:tcW w:w="2126" w:type="dxa"/>
            <w:tcBorders>
              <w:top w:val="single" w:color="auto" w:sz="4" w:space="0"/>
              <w:left w:val="single" w:color="auto" w:sz="4" w:space="0"/>
              <w:right w:val="single" w:color="auto" w:sz="4" w:space="0"/>
            </w:tcBorders>
            <w:vAlign w:val="center"/>
          </w:tcPr>
          <w:p w14:paraId="733B4762">
            <w:pPr>
              <w:jc w:val="center"/>
              <w:rPr>
                <w:rFonts w:hAnsi="宋体"/>
                <w:b/>
                <w:sz w:val="28"/>
                <w:szCs w:val="28"/>
              </w:rPr>
            </w:pPr>
          </w:p>
        </w:tc>
        <w:tc>
          <w:tcPr>
            <w:tcW w:w="1276" w:type="dxa"/>
            <w:tcBorders>
              <w:top w:val="single" w:color="auto" w:sz="4" w:space="0"/>
              <w:left w:val="single" w:color="auto" w:sz="4" w:space="0"/>
              <w:right w:val="single" w:color="auto" w:sz="4" w:space="0"/>
            </w:tcBorders>
            <w:vAlign w:val="center"/>
          </w:tcPr>
          <w:p w14:paraId="37D179F7">
            <w:pPr>
              <w:rPr>
                <w:rFonts w:hAnsi="宋体"/>
                <w:sz w:val="28"/>
                <w:szCs w:val="28"/>
              </w:rPr>
            </w:pPr>
          </w:p>
        </w:tc>
        <w:tc>
          <w:tcPr>
            <w:tcW w:w="2693" w:type="dxa"/>
            <w:vMerge w:val="restart"/>
            <w:tcBorders>
              <w:top w:val="single" w:color="auto" w:sz="4" w:space="0"/>
              <w:left w:val="single" w:color="auto" w:sz="4" w:space="0"/>
              <w:right w:val="single" w:color="auto" w:sz="4" w:space="0"/>
            </w:tcBorders>
            <w:vAlign w:val="center"/>
          </w:tcPr>
          <w:p w14:paraId="6B69C949">
            <w:pPr>
              <w:widowControl/>
              <w:jc w:val="center"/>
              <w:rPr>
                <w:rFonts w:hAnsi="宋体"/>
                <w:sz w:val="28"/>
                <w:szCs w:val="28"/>
              </w:rPr>
            </w:pPr>
            <w:r>
              <w:rPr>
                <w:rFonts w:hint="eastAsia" w:hAnsi="宋体"/>
                <w:sz w:val="28"/>
                <w:szCs w:val="28"/>
              </w:rPr>
              <w:t>洗地机不低于</w:t>
            </w:r>
            <w:r>
              <w:rPr>
                <w:rFonts w:hAnsi="宋体"/>
                <w:sz w:val="28"/>
                <w:szCs w:val="28"/>
              </w:rPr>
              <w:t>9台（其中包含5台新洗地机）、洗衣机不低于5台（其中包含3台新洗衣机）</w:t>
            </w:r>
          </w:p>
        </w:tc>
      </w:tr>
      <w:tr w14:paraId="7636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709" w:type="dxa"/>
            <w:vMerge w:val="continue"/>
            <w:tcBorders>
              <w:left w:val="single" w:color="auto" w:sz="4" w:space="0"/>
              <w:right w:val="single" w:color="auto" w:sz="4" w:space="0"/>
            </w:tcBorders>
            <w:vAlign w:val="center"/>
          </w:tcPr>
          <w:p w14:paraId="5ECC5672">
            <w:pPr>
              <w:spacing w:line="320" w:lineRule="exact"/>
              <w:jc w:val="center"/>
              <w:rPr>
                <w:rFonts w:hAnsi="宋体"/>
                <w:sz w:val="28"/>
                <w:szCs w:val="28"/>
              </w:rPr>
            </w:pPr>
          </w:p>
        </w:tc>
        <w:tc>
          <w:tcPr>
            <w:tcW w:w="1702" w:type="dxa"/>
            <w:vMerge w:val="continue"/>
            <w:tcBorders>
              <w:left w:val="single" w:color="auto" w:sz="4" w:space="0"/>
              <w:right w:val="single" w:color="auto" w:sz="4" w:space="0"/>
            </w:tcBorders>
            <w:vAlign w:val="center"/>
          </w:tcPr>
          <w:p w14:paraId="66A34F1B">
            <w:pPr>
              <w:spacing w:line="320" w:lineRule="exact"/>
              <w:jc w:val="center"/>
              <w:rPr>
                <w:rFonts w:hAnsi="宋体"/>
                <w:sz w:val="28"/>
                <w:szCs w:val="28"/>
              </w:rPr>
            </w:pPr>
          </w:p>
        </w:tc>
        <w:tc>
          <w:tcPr>
            <w:tcW w:w="1559" w:type="dxa"/>
            <w:tcBorders>
              <w:top w:val="single" w:color="auto" w:sz="4" w:space="0"/>
              <w:left w:val="single" w:color="auto" w:sz="4" w:space="0"/>
              <w:bottom w:val="single" w:color="auto" w:sz="4" w:space="0"/>
              <w:right w:val="single" w:color="auto" w:sz="4" w:space="0"/>
            </w:tcBorders>
            <w:vAlign w:val="center"/>
          </w:tcPr>
          <w:p w14:paraId="5EB96E82">
            <w:pPr>
              <w:spacing w:line="320" w:lineRule="exact"/>
              <w:jc w:val="center"/>
              <w:rPr>
                <w:rFonts w:hAnsi="宋体"/>
                <w:sz w:val="21"/>
                <w:szCs w:val="21"/>
              </w:rPr>
            </w:pPr>
            <w:r>
              <w:rPr>
                <w:rFonts w:hint="eastAsia" w:hAnsi="宋体"/>
                <w:sz w:val="21"/>
                <w:szCs w:val="21"/>
              </w:rPr>
              <w:t>洗衣机（填写台数）</w:t>
            </w:r>
          </w:p>
        </w:tc>
        <w:tc>
          <w:tcPr>
            <w:tcW w:w="2126" w:type="dxa"/>
            <w:tcBorders>
              <w:left w:val="single" w:color="auto" w:sz="4" w:space="0"/>
              <w:right w:val="single" w:color="auto" w:sz="4" w:space="0"/>
            </w:tcBorders>
            <w:vAlign w:val="center"/>
          </w:tcPr>
          <w:p w14:paraId="01C06323">
            <w:pPr>
              <w:jc w:val="center"/>
              <w:rPr>
                <w:rFonts w:hAnsi="宋体"/>
                <w:b/>
                <w:sz w:val="28"/>
                <w:szCs w:val="28"/>
              </w:rPr>
            </w:pPr>
          </w:p>
        </w:tc>
        <w:tc>
          <w:tcPr>
            <w:tcW w:w="1276" w:type="dxa"/>
            <w:tcBorders>
              <w:left w:val="single" w:color="auto" w:sz="4" w:space="0"/>
              <w:right w:val="single" w:color="auto" w:sz="4" w:space="0"/>
            </w:tcBorders>
            <w:vAlign w:val="center"/>
          </w:tcPr>
          <w:p w14:paraId="444C961C">
            <w:pPr>
              <w:rPr>
                <w:rFonts w:hAnsi="宋体"/>
                <w:sz w:val="28"/>
                <w:szCs w:val="28"/>
              </w:rPr>
            </w:pPr>
          </w:p>
        </w:tc>
        <w:tc>
          <w:tcPr>
            <w:tcW w:w="2693" w:type="dxa"/>
            <w:vMerge w:val="continue"/>
            <w:tcBorders>
              <w:left w:val="single" w:color="auto" w:sz="4" w:space="0"/>
              <w:right w:val="single" w:color="auto" w:sz="4" w:space="0"/>
            </w:tcBorders>
            <w:vAlign w:val="center"/>
          </w:tcPr>
          <w:p w14:paraId="532FE309">
            <w:pPr>
              <w:widowControl/>
              <w:jc w:val="center"/>
              <w:rPr>
                <w:rFonts w:hAnsi="宋体"/>
                <w:sz w:val="28"/>
                <w:szCs w:val="28"/>
              </w:rPr>
            </w:pPr>
          </w:p>
        </w:tc>
      </w:tr>
      <w:tr w14:paraId="3E0CD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tcBorders>
              <w:top w:val="single" w:color="auto" w:sz="4" w:space="0"/>
              <w:left w:val="single" w:color="auto" w:sz="4" w:space="0"/>
              <w:bottom w:val="single" w:color="auto" w:sz="4" w:space="0"/>
              <w:right w:val="single" w:color="auto" w:sz="4" w:space="0"/>
            </w:tcBorders>
            <w:vAlign w:val="center"/>
          </w:tcPr>
          <w:p w14:paraId="0D11B2A9">
            <w:pPr>
              <w:spacing w:line="320" w:lineRule="exact"/>
              <w:jc w:val="center"/>
              <w:rPr>
                <w:rFonts w:hAnsi="宋体"/>
                <w:sz w:val="28"/>
                <w:szCs w:val="28"/>
              </w:rPr>
            </w:pPr>
            <w:r>
              <w:rPr>
                <w:rFonts w:hAnsi="宋体"/>
                <w:sz w:val="28"/>
                <w:szCs w:val="28"/>
              </w:rPr>
              <w:t>3</w:t>
            </w:r>
          </w:p>
        </w:tc>
        <w:tc>
          <w:tcPr>
            <w:tcW w:w="1702" w:type="dxa"/>
            <w:tcBorders>
              <w:top w:val="single" w:color="auto" w:sz="4" w:space="0"/>
              <w:left w:val="single" w:color="auto" w:sz="4" w:space="0"/>
              <w:bottom w:val="single" w:color="auto" w:sz="4" w:space="0"/>
              <w:right w:val="single" w:color="auto" w:sz="4" w:space="0"/>
            </w:tcBorders>
            <w:vAlign w:val="center"/>
          </w:tcPr>
          <w:p w14:paraId="42C2F0BF">
            <w:pPr>
              <w:spacing w:line="320" w:lineRule="exact"/>
              <w:jc w:val="center"/>
              <w:rPr>
                <w:rFonts w:hAnsi="宋体"/>
                <w:sz w:val="28"/>
                <w:szCs w:val="28"/>
                <w:highlight w:val="yellow"/>
              </w:rPr>
            </w:pPr>
            <w:r>
              <w:rPr>
                <w:rFonts w:hint="eastAsia" w:hAnsi="宋体"/>
                <w:sz w:val="28"/>
                <w:szCs w:val="28"/>
              </w:rPr>
              <w:t>清洁用品、用具、耗材费用</w:t>
            </w:r>
          </w:p>
        </w:tc>
        <w:tc>
          <w:tcPr>
            <w:tcW w:w="1559" w:type="dxa"/>
            <w:tcBorders>
              <w:top w:val="single" w:color="auto" w:sz="4" w:space="0"/>
              <w:left w:val="single" w:color="auto" w:sz="4" w:space="0"/>
              <w:bottom w:val="single" w:color="auto" w:sz="4" w:space="0"/>
              <w:right w:val="single" w:color="auto" w:sz="4" w:space="0"/>
            </w:tcBorders>
            <w:vAlign w:val="center"/>
          </w:tcPr>
          <w:p w14:paraId="6FB24D2C">
            <w:pPr>
              <w:jc w:val="center"/>
              <w:rPr>
                <w:rFonts w:hAnsi="宋体"/>
                <w:b/>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14:paraId="2A6120AA">
            <w:pPr>
              <w:jc w:val="center"/>
              <w:rPr>
                <w:rFonts w:hAnsi="宋体"/>
                <w:b/>
                <w:sz w:val="28"/>
                <w:szCs w:val="28"/>
              </w:rPr>
            </w:pPr>
          </w:p>
        </w:tc>
        <w:tc>
          <w:tcPr>
            <w:tcW w:w="1276" w:type="dxa"/>
            <w:tcBorders>
              <w:top w:val="single" w:color="auto" w:sz="4" w:space="0"/>
              <w:left w:val="single" w:color="auto" w:sz="4" w:space="0"/>
              <w:bottom w:val="single" w:color="auto" w:sz="4" w:space="0"/>
              <w:right w:val="single" w:color="auto" w:sz="4" w:space="0"/>
            </w:tcBorders>
            <w:vAlign w:val="center"/>
          </w:tcPr>
          <w:p w14:paraId="4C179930">
            <w:pPr>
              <w:rPr>
                <w:rFonts w:hAnsi="宋体"/>
                <w:sz w:val="28"/>
                <w:szCs w:val="28"/>
              </w:rPr>
            </w:pPr>
          </w:p>
        </w:tc>
        <w:tc>
          <w:tcPr>
            <w:tcW w:w="2693" w:type="dxa"/>
            <w:tcBorders>
              <w:top w:val="single" w:color="auto" w:sz="4" w:space="0"/>
              <w:left w:val="single" w:color="auto" w:sz="4" w:space="0"/>
              <w:bottom w:val="single" w:color="auto" w:sz="4" w:space="0"/>
              <w:right w:val="single" w:color="auto" w:sz="4" w:space="0"/>
            </w:tcBorders>
            <w:vAlign w:val="center"/>
          </w:tcPr>
          <w:p w14:paraId="51EE39CE">
            <w:pPr>
              <w:widowControl/>
              <w:jc w:val="center"/>
              <w:rPr>
                <w:rFonts w:hAnsi="宋体"/>
                <w:sz w:val="28"/>
                <w:szCs w:val="28"/>
              </w:rPr>
            </w:pPr>
            <w:r>
              <w:rPr>
                <w:rFonts w:hint="eastAsia" w:hAnsi="宋体"/>
                <w:sz w:val="28"/>
                <w:szCs w:val="28"/>
              </w:rPr>
              <w:t>包含：清洁用品用具、耗材、工人防护用品、</w:t>
            </w:r>
            <w:r>
              <w:rPr>
                <w:rFonts w:hAnsi="宋体"/>
                <w:sz w:val="28"/>
                <w:szCs w:val="28"/>
              </w:rPr>
              <w:t>PVC</w:t>
            </w:r>
            <w:r>
              <w:rPr>
                <w:rFonts w:hint="eastAsia" w:hAnsi="宋体"/>
                <w:sz w:val="28"/>
                <w:szCs w:val="28"/>
              </w:rPr>
              <w:t>或者橡胶地板，</w:t>
            </w:r>
            <w:r>
              <w:rPr>
                <w:rFonts w:hAnsi="宋体" w:cs="仿宋_GB2312"/>
                <w:sz w:val="28"/>
                <w:szCs w:val="28"/>
              </w:rPr>
              <w:t>墙地面石材</w:t>
            </w:r>
            <w:r>
              <w:rPr>
                <w:rFonts w:hint="eastAsia" w:hAnsi="宋体"/>
                <w:sz w:val="28"/>
                <w:szCs w:val="28"/>
              </w:rPr>
              <w:t>等费用</w:t>
            </w:r>
          </w:p>
        </w:tc>
      </w:tr>
      <w:tr w14:paraId="6D936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709" w:type="dxa"/>
            <w:tcBorders>
              <w:top w:val="single" w:color="auto" w:sz="4" w:space="0"/>
              <w:left w:val="single" w:color="auto" w:sz="4" w:space="0"/>
              <w:bottom w:val="single" w:color="auto" w:sz="4" w:space="0"/>
              <w:right w:val="single" w:color="auto" w:sz="4" w:space="0"/>
            </w:tcBorders>
            <w:vAlign w:val="center"/>
          </w:tcPr>
          <w:p w14:paraId="20259775">
            <w:pPr>
              <w:spacing w:line="320" w:lineRule="exact"/>
              <w:jc w:val="center"/>
              <w:rPr>
                <w:rFonts w:hAnsi="宋体"/>
                <w:sz w:val="28"/>
                <w:szCs w:val="28"/>
              </w:rPr>
            </w:pPr>
            <w:r>
              <w:rPr>
                <w:rFonts w:hAnsi="宋体"/>
                <w:sz w:val="28"/>
                <w:szCs w:val="28"/>
              </w:rPr>
              <w:t>4</w:t>
            </w:r>
          </w:p>
        </w:tc>
        <w:tc>
          <w:tcPr>
            <w:tcW w:w="1702" w:type="dxa"/>
            <w:tcBorders>
              <w:top w:val="single" w:color="auto" w:sz="4" w:space="0"/>
              <w:left w:val="single" w:color="auto" w:sz="4" w:space="0"/>
              <w:bottom w:val="single" w:color="auto" w:sz="4" w:space="0"/>
              <w:right w:val="single" w:color="auto" w:sz="4" w:space="0"/>
            </w:tcBorders>
            <w:vAlign w:val="center"/>
          </w:tcPr>
          <w:p w14:paraId="726FF873">
            <w:pPr>
              <w:spacing w:line="320" w:lineRule="exact"/>
              <w:jc w:val="center"/>
              <w:rPr>
                <w:rFonts w:hAnsi="宋体"/>
                <w:sz w:val="28"/>
                <w:szCs w:val="28"/>
              </w:rPr>
            </w:pPr>
            <w:r>
              <w:rPr>
                <w:rFonts w:hint="eastAsia" w:hAnsi="宋体"/>
                <w:sz w:val="28"/>
                <w:szCs w:val="28"/>
              </w:rPr>
              <w:t>合计</w:t>
            </w:r>
          </w:p>
        </w:tc>
        <w:tc>
          <w:tcPr>
            <w:tcW w:w="1559" w:type="dxa"/>
            <w:tcBorders>
              <w:top w:val="single" w:color="auto" w:sz="4" w:space="0"/>
              <w:left w:val="single" w:color="auto" w:sz="4" w:space="0"/>
              <w:bottom w:val="single" w:color="auto" w:sz="4" w:space="0"/>
              <w:right w:val="single" w:color="auto" w:sz="4" w:space="0"/>
            </w:tcBorders>
            <w:vAlign w:val="center"/>
          </w:tcPr>
          <w:p w14:paraId="3DA031D1">
            <w:pPr>
              <w:jc w:val="center"/>
              <w:rPr>
                <w:rFonts w:hAnsi="宋体"/>
                <w:b/>
                <w:sz w:val="28"/>
                <w:szCs w:val="28"/>
              </w:rPr>
            </w:pPr>
          </w:p>
        </w:tc>
        <w:tc>
          <w:tcPr>
            <w:tcW w:w="2126" w:type="dxa"/>
            <w:tcBorders>
              <w:top w:val="single" w:color="auto" w:sz="4" w:space="0"/>
              <w:left w:val="single" w:color="auto" w:sz="4" w:space="0"/>
              <w:bottom w:val="single" w:color="auto" w:sz="4" w:space="0"/>
              <w:right w:val="single" w:color="auto" w:sz="4" w:space="0"/>
            </w:tcBorders>
            <w:vAlign w:val="center"/>
          </w:tcPr>
          <w:p w14:paraId="5DA7F8FC">
            <w:pPr>
              <w:jc w:val="center"/>
              <w:rPr>
                <w:rFonts w:hAnsi="宋体"/>
                <w:b/>
                <w:sz w:val="28"/>
                <w:szCs w:val="28"/>
              </w:rPr>
            </w:pPr>
          </w:p>
        </w:tc>
        <w:tc>
          <w:tcPr>
            <w:tcW w:w="1276" w:type="dxa"/>
            <w:tcBorders>
              <w:top w:val="single" w:color="auto" w:sz="4" w:space="0"/>
              <w:left w:val="single" w:color="auto" w:sz="4" w:space="0"/>
              <w:bottom w:val="single" w:color="auto" w:sz="4" w:space="0"/>
              <w:right w:val="single" w:color="auto" w:sz="4" w:space="0"/>
            </w:tcBorders>
            <w:vAlign w:val="center"/>
          </w:tcPr>
          <w:p w14:paraId="0EAA8E6B">
            <w:pPr>
              <w:rPr>
                <w:rFonts w:hAnsi="宋体"/>
                <w:sz w:val="28"/>
                <w:szCs w:val="28"/>
              </w:rPr>
            </w:pPr>
          </w:p>
        </w:tc>
        <w:tc>
          <w:tcPr>
            <w:tcW w:w="2693" w:type="dxa"/>
            <w:tcBorders>
              <w:top w:val="single" w:color="auto" w:sz="4" w:space="0"/>
              <w:left w:val="single" w:color="auto" w:sz="4" w:space="0"/>
              <w:bottom w:val="single" w:color="auto" w:sz="4" w:space="0"/>
              <w:right w:val="single" w:color="auto" w:sz="4" w:space="0"/>
            </w:tcBorders>
            <w:vAlign w:val="center"/>
          </w:tcPr>
          <w:p w14:paraId="6DE19501">
            <w:pPr>
              <w:widowControl/>
              <w:jc w:val="center"/>
              <w:rPr>
                <w:rFonts w:hAnsi="宋体"/>
                <w:sz w:val="28"/>
                <w:szCs w:val="28"/>
              </w:rPr>
            </w:pPr>
          </w:p>
        </w:tc>
      </w:tr>
      <w:bookmarkEnd w:id="0"/>
      <w:bookmarkEnd w:id="1"/>
    </w:tbl>
    <w:p w14:paraId="01ADC9E9">
      <w:pPr>
        <w:spacing w:line="360" w:lineRule="auto"/>
        <w:ind w:firstLine="559" w:firstLineChars="199"/>
        <w:rPr>
          <w:rFonts w:hAnsi="宋体"/>
          <w:b/>
          <w:sz w:val="28"/>
          <w:szCs w:val="28"/>
        </w:rPr>
      </w:pPr>
      <w:r>
        <w:rPr>
          <w:rFonts w:hint="eastAsia" w:hAnsi="宋体"/>
          <w:b/>
          <w:sz w:val="28"/>
          <w:szCs w:val="28"/>
        </w:rPr>
        <w:t>填表说明：</w:t>
      </w:r>
    </w:p>
    <w:p w14:paraId="57EBCAA5">
      <w:pPr>
        <w:spacing w:line="360" w:lineRule="auto"/>
        <w:rPr>
          <w:rFonts w:hAnsi="宋体"/>
          <w:sz w:val="28"/>
          <w:szCs w:val="28"/>
        </w:rPr>
      </w:pPr>
      <w:r>
        <w:rPr>
          <w:rFonts w:hAnsi="宋体"/>
          <w:sz w:val="28"/>
          <w:szCs w:val="28"/>
        </w:rPr>
        <w:t>1</w:t>
      </w:r>
      <w:r>
        <w:rPr>
          <w:rFonts w:hint="eastAsia" w:hAnsi="宋体"/>
          <w:sz w:val="28"/>
          <w:szCs w:val="28"/>
        </w:rPr>
        <w:t>、需填写配置人数。</w:t>
      </w:r>
    </w:p>
    <w:p w14:paraId="6D34323A">
      <w:pPr>
        <w:spacing w:line="360" w:lineRule="auto"/>
        <w:rPr>
          <w:rFonts w:hAnsi="宋体"/>
          <w:sz w:val="28"/>
          <w:szCs w:val="28"/>
        </w:rPr>
      </w:pPr>
      <w:r>
        <w:rPr>
          <w:rFonts w:hAnsi="宋体"/>
          <w:sz w:val="28"/>
          <w:szCs w:val="28"/>
        </w:rPr>
        <w:t>2、</w:t>
      </w:r>
      <w:r>
        <w:rPr>
          <w:rFonts w:hint="eastAsia" w:hAnsi="宋体"/>
          <w:sz w:val="28"/>
          <w:szCs w:val="28"/>
        </w:rPr>
        <w:t>人工费包含人员工资、绩效、夜班费、工人安全防护费、保险、社保、医保、公司税费、公司管理费、加班费、服装费、胸牌、节假日费、特殊岗位费、办公设备等全部费用。</w:t>
      </w:r>
    </w:p>
    <w:p w14:paraId="1A88DF38">
      <w:pPr>
        <w:spacing w:line="360" w:lineRule="auto"/>
        <w:rPr>
          <w:rFonts w:hAnsi="宋体"/>
          <w:sz w:val="28"/>
          <w:szCs w:val="28"/>
        </w:rPr>
      </w:pPr>
      <w:r>
        <w:rPr>
          <w:rFonts w:hAnsi="宋体"/>
          <w:sz w:val="28"/>
          <w:szCs w:val="28"/>
        </w:rPr>
        <w:t>3</w:t>
      </w:r>
      <w:r>
        <w:rPr>
          <w:rFonts w:hint="eastAsia" w:hAnsi="宋体"/>
          <w:sz w:val="28"/>
          <w:szCs w:val="28"/>
        </w:rPr>
        <w:t>、设备设施使用费包括：洗地机、洗衣机、风干机、打蜡机、抛光机、吸尘器、脱水机、高压冲地机等全部设备设施购置、使用、维护、维修等全部费用。调研参与人需单独报洗地机和洗衣机台数以及设备设施月度和年度使用费。</w:t>
      </w:r>
    </w:p>
    <w:p w14:paraId="66577AEA">
      <w:pPr>
        <w:spacing w:line="360" w:lineRule="auto"/>
        <w:rPr>
          <w:rFonts w:hAnsi="宋体"/>
          <w:sz w:val="28"/>
          <w:szCs w:val="28"/>
        </w:rPr>
      </w:pPr>
      <w:r>
        <w:rPr>
          <w:rFonts w:hAnsi="宋体"/>
          <w:sz w:val="28"/>
          <w:szCs w:val="28"/>
        </w:rPr>
        <w:t>4</w:t>
      </w:r>
      <w:r>
        <w:rPr>
          <w:rFonts w:hint="eastAsia" w:hAnsi="宋体"/>
          <w:sz w:val="28"/>
          <w:szCs w:val="28"/>
        </w:rPr>
        <w:t>、清洁用品、用具、耗材费用包括：不锈钢清洁剂、洗衣粉、静电吸尘剂、全能清洁剂、肥皂、洁厕剂、去污粉、消杀剂、空气清新剂、厕香球、玻璃清洁剂、消毒剂、过氧化物类消毒剂、静电尘推、拖把头、水桶、胶手套、抛光垫、玻璃刮刀、厕刷、涂水器、抹布、长柄棕毛条帚、水靴、水管、钢丝球、鸡毛掸、各种医用垃圾袋、生活用垃圾袋、手套、脚套、帽子、口罩等全部费用。不含垃圾桶。</w:t>
      </w:r>
    </w:p>
    <w:p w14:paraId="5A0AA602">
      <w:pPr>
        <w:spacing w:line="360" w:lineRule="auto"/>
        <w:ind w:firstLine="280" w:firstLineChars="100"/>
        <w:rPr>
          <w:rFonts w:asciiTheme="majorEastAsia" w:hAnsiTheme="majorEastAsia" w:eastAsiaTheme="majorEastAsia"/>
          <w:b/>
          <w:sz w:val="28"/>
          <w:szCs w:val="28"/>
        </w:rPr>
      </w:pPr>
      <w:r>
        <w:rPr>
          <w:rFonts w:hint="eastAsia" w:hAnsi="宋体"/>
          <w:sz w:val="28"/>
          <w:szCs w:val="28"/>
        </w:rPr>
        <w:t>调研参与人需报清洁用品、用具、耗材月度和年度使用费，费用中还包含</w:t>
      </w:r>
      <w:r>
        <w:rPr>
          <w:rFonts w:hAnsi="宋体"/>
          <w:sz w:val="28"/>
          <w:szCs w:val="28"/>
        </w:rPr>
        <w:t>PVC</w:t>
      </w:r>
      <w:r>
        <w:rPr>
          <w:rFonts w:hint="eastAsia" w:hAnsi="宋体"/>
          <w:sz w:val="28"/>
          <w:szCs w:val="28"/>
        </w:rPr>
        <w:t>、橡胶地板的日常养护以及每年每处不少于</w:t>
      </w:r>
      <w:r>
        <w:rPr>
          <w:rFonts w:hAnsi="宋体"/>
          <w:sz w:val="28"/>
          <w:szCs w:val="28"/>
        </w:rPr>
        <w:t>2次保养打蜡的费用及</w:t>
      </w:r>
      <w:r>
        <w:rPr>
          <w:rFonts w:hAnsi="宋体" w:cs="仿宋_GB2312"/>
          <w:sz w:val="28"/>
          <w:szCs w:val="28"/>
        </w:rPr>
        <w:t>墙</w:t>
      </w:r>
      <w:bookmarkStart w:id="2" w:name="OLE_LINK98"/>
      <w:r>
        <w:rPr>
          <w:rFonts w:hAnsi="宋体" w:cs="仿宋_GB2312"/>
          <w:sz w:val="28"/>
          <w:szCs w:val="28"/>
        </w:rPr>
        <w:t>地面石材</w:t>
      </w:r>
      <w:bookmarkEnd w:id="2"/>
      <w:r>
        <w:rPr>
          <w:rFonts w:hint="eastAsia" w:hAnsi="宋体" w:cs="仿宋_GB2312"/>
          <w:sz w:val="28"/>
          <w:szCs w:val="28"/>
        </w:rPr>
        <w:t>一年一次保养</w:t>
      </w:r>
      <w:r>
        <w:rPr>
          <w:rFonts w:hint="eastAsia" w:hAnsi="宋体"/>
          <w:sz w:val="28"/>
          <w:szCs w:val="28"/>
        </w:rPr>
        <w:t>及人工费和耗材费等费用。</w:t>
      </w:r>
    </w:p>
    <w:p w14:paraId="436B2CCC">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E3E"/>
    <w:rsid w:val="000C483F"/>
    <w:rsid w:val="00D26E3E"/>
    <w:rsid w:val="0BB549AA"/>
    <w:rsid w:val="2B552424"/>
    <w:rsid w:val="53051D27"/>
    <w:rsid w:val="6E6B35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宋体" w:cs="Times New Roman"/>
      <w:kern w:val="0"/>
      <w:sz w:val="34"/>
      <w:szCs w:val="20"/>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99"/>
    <w:pPr>
      <w:ind w:firstLine="420" w:firstLineChars="200"/>
    </w:pPr>
  </w:style>
  <w:style w:type="paragraph" w:customStyle="1" w:styleId="5">
    <w:name w:val="null3"/>
    <w:hidden/>
    <w:qFormat/>
    <w:uiPriority w:val="0"/>
    <w:rPr>
      <w:rFonts w:hint="eastAsia" w:ascii="Calibri" w:hAnsi="Calibri" w:eastAsia="宋体" w:cs="Times New Roman"/>
      <w:kern w:val="0"/>
      <w:sz w:val="20"/>
      <w:szCs w:val="20"/>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zyy</Company>
  <Pages>2</Pages>
  <Words>6156</Words>
  <Characters>6396</Characters>
  <Lines>49</Lines>
  <Paragraphs>14</Paragraphs>
  <TotalTime>2</TotalTime>
  <ScaleCrop>false</ScaleCrop>
  <LinksUpToDate>false</LinksUpToDate>
  <CharactersWithSpaces>6440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2026-07-23T07:12:00Z</dcterms:created>
  <dc:creator>佘旭东</dc:creator>
  <cp:lastModifiedBy>王友关</cp:lastModifiedBy>
  <dcterms:modified xsi:type="dcterms:W3CDTF">2026-07-24T08:36:44Z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eyJoZGlkIjoiYWY5MTg5YjJhYWNjNzQ2Y2Q4NzI5MWQwOTIxMjZkMDgiLCJ1c2VySWQiOiIxODY2ODQyOTAyIn0=</vt:lpwstr>
  </property>
  <property fmtid="{D5CDD505-2E9C-101B-9397-08002B2CF9AE}" pid="3" name="KSOProductBuildVer">
    <vt:lpwstr>2052-12.1.0.26895</vt:lpwstr>
  </property>
  <property fmtid="{D5CDD505-2E9C-101B-9397-08002B2CF9AE}" pid="4" name="ICV">
    <vt:lpwstr>5FE4F7C955BC4EFDBF3FFD839A57AAA2_13</vt:lpwstr>
  </property>
</Properties>
</file>