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548B58">
      <w:pPr>
        <w:tabs>
          <w:tab w:val="left" w:pos="6090"/>
        </w:tabs>
        <w:rPr>
          <w:rFonts w:ascii="仿宋_GB2312" w:hAnsi="宋体" w:eastAsia="仿宋_GB2312" w:cs="宋体"/>
          <w:kern w:val="0"/>
          <w:sz w:val="32"/>
          <w:szCs w:val="32"/>
        </w:rPr>
      </w:pPr>
      <w:r>
        <w:rPr>
          <w:rFonts w:ascii="仿宋_GB2312" w:hAnsi="宋体" w:eastAsia="仿宋_GB2312" w:cs="宋体"/>
          <w:kern w:val="0"/>
          <w:sz w:val="32"/>
          <w:szCs w:val="32"/>
        </w:rPr>
        <w:t>附件</w:t>
      </w:r>
      <w:r>
        <w:rPr>
          <w:rFonts w:hint="eastAsia" w:ascii="仿宋_GB2312" w:hAnsi="宋体" w:eastAsia="仿宋_GB2312" w:cs="宋体"/>
          <w:kern w:val="0"/>
          <w:sz w:val="32"/>
          <w:szCs w:val="32"/>
        </w:rPr>
        <w:t>1：</w:t>
      </w:r>
      <w:bookmarkStart w:id="0" w:name="_GoBack"/>
      <w:r>
        <w:rPr>
          <w:rFonts w:hint="eastAsia" w:ascii="仿宋_GB2312" w:hAnsi="宋体" w:eastAsia="仿宋_GB2312" w:cs="宋体"/>
          <w:kern w:val="0"/>
          <w:sz w:val="32"/>
          <w:szCs w:val="32"/>
        </w:rPr>
        <w:t>绵阳市公立医疗机构实行市场调价医疗服务项目定（调）价表</w:t>
      </w:r>
      <w:bookmarkEnd w:id="0"/>
    </w:p>
    <w:tbl>
      <w:tblPr>
        <w:tblStyle w:val="2"/>
        <w:tblW w:w="13680" w:type="dxa"/>
        <w:tblInd w:w="94" w:type="dxa"/>
        <w:tblLayout w:type="autofit"/>
        <w:tblCellMar>
          <w:top w:w="0" w:type="dxa"/>
          <w:left w:w="108" w:type="dxa"/>
          <w:bottom w:w="0" w:type="dxa"/>
          <w:right w:w="108" w:type="dxa"/>
        </w:tblCellMar>
      </w:tblPr>
      <w:tblGrid>
        <w:gridCol w:w="1080"/>
        <w:gridCol w:w="1566"/>
        <w:gridCol w:w="3160"/>
        <w:gridCol w:w="3454"/>
        <w:gridCol w:w="1080"/>
        <w:gridCol w:w="1180"/>
        <w:gridCol w:w="1080"/>
        <w:gridCol w:w="1080"/>
      </w:tblGrid>
      <w:tr w14:paraId="6F1B04A4">
        <w:tblPrEx>
          <w:tblCellMar>
            <w:top w:w="0" w:type="dxa"/>
            <w:left w:w="108" w:type="dxa"/>
            <w:bottom w:w="0" w:type="dxa"/>
            <w:right w:w="108" w:type="dxa"/>
          </w:tblCellMar>
        </w:tblPrEx>
        <w:trPr>
          <w:trHeight w:val="420" w:hRule="atLeast"/>
        </w:trPr>
        <w:tc>
          <w:tcPr>
            <w:tcW w:w="13680" w:type="dxa"/>
            <w:gridSpan w:val="8"/>
            <w:tcBorders>
              <w:top w:val="nil"/>
              <w:left w:val="nil"/>
              <w:bottom w:val="nil"/>
              <w:right w:val="nil"/>
            </w:tcBorders>
            <w:shd w:val="clear" w:color="auto" w:fill="auto"/>
            <w:noWrap/>
            <w:vAlign w:val="center"/>
          </w:tcPr>
          <w:p w14:paraId="0F5216D0">
            <w:pPr>
              <w:widowControl/>
              <w:jc w:val="left"/>
              <w:rPr>
                <w:rFonts w:ascii="仿宋_GB2312" w:hAnsi="宋体" w:eastAsia="仿宋_GB2312" w:cs="宋体"/>
                <w:color w:val="000000"/>
                <w:kern w:val="0"/>
                <w:sz w:val="32"/>
                <w:szCs w:val="32"/>
              </w:rPr>
            </w:pPr>
          </w:p>
        </w:tc>
      </w:tr>
      <w:tr w14:paraId="4B175750">
        <w:tblPrEx>
          <w:tblCellMar>
            <w:top w:w="0" w:type="dxa"/>
            <w:left w:w="108" w:type="dxa"/>
            <w:bottom w:w="0" w:type="dxa"/>
            <w:right w:w="108" w:type="dxa"/>
          </w:tblCellMar>
        </w:tblPrEx>
        <w:trPr>
          <w:trHeight w:val="312" w:hRule="atLeast"/>
        </w:trPr>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54DDD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序号</w:t>
            </w: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6933C3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项目编码</w:t>
            </w:r>
          </w:p>
        </w:tc>
        <w:tc>
          <w:tcPr>
            <w:tcW w:w="31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6DC316">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项目名称</w:t>
            </w:r>
          </w:p>
        </w:tc>
        <w:tc>
          <w:tcPr>
            <w:tcW w:w="34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A5B6A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项目内涵</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94E38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计价单位</w:t>
            </w:r>
          </w:p>
        </w:tc>
        <w:tc>
          <w:tcPr>
            <w:tcW w:w="11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A57210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说明</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31431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备案价格（元）</w:t>
            </w:r>
          </w:p>
        </w:tc>
        <w:tc>
          <w:tcPr>
            <w:tcW w:w="108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CE90ED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备注</w:t>
            </w:r>
          </w:p>
        </w:tc>
      </w:tr>
      <w:tr w14:paraId="4D8ED976">
        <w:tblPrEx>
          <w:tblCellMar>
            <w:top w:w="0" w:type="dxa"/>
            <w:left w:w="108" w:type="dxa"/>
            <w:bottom w:w="0" w:type="dxa"/>
            <w:right w:w="108" w:type="dxa"/>
          </w:tblCellMar>
        </w:tblPrEx>
        <w:trPr>
          <w:trHeight w:val="312" w:hRule="atLeast"/>
        </w:trPr>
        <w:tc>
          <w:tcPr>
            <w:tcW w:w="1080" w:type="dxa"/>
            <w:vMerge w:val="continue"/>
            <w:tcBorders>
              <w:top w:val="single" w:color="auto" w:sz="4" w:space="0"/>
              <w:left w:val="single" w:color="auto" w:sz="4" w:space="0"/>
              <w:bottom w:val="single" w:color="auto" w:sz="4" w:space="0"/>
              <w:right w:val="single" w:color="auto" w:sz="4" w:space="0"/>
            </w:tcBorders>
            <w:vAlign w:val="center"/>
          </w:tcPr>
          <w:p w14:paraId="13B26FB2">
            <w:pPr>
              <w:widowControl/>
              <w:jc w:val="left"/>
              <w:rPr>
                <w:rFonts w:ascii="宋体" w:hAnsi="宋体" w:eastAsia="宋体" w:cs="宋体"/>
                <w:color w:val="000000"/>
                <w:kern w:val="0"/>
                <w:sz w:val="18"/>
                <w:szCs w:val="18"/>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14:paraId="6824D00A">
            <w:pPr>
              <w:widowControl/>
              <w:jc w:val="left"/>
              <w:rPr>
                <w:rFonts w:ascii="宋体" w:hAnsi="宋体" w:eastAsia="宋体" w:cs="宋体"/>
                <w:color w:val="000000"/>
                <w:kern w:val="0"/>
                <w:sz w:val="18"/>
                <w:szCs w:val="18"/>
              </w:rPr>
            </w:pPr>
          </w:p>
        </w:tc>
        <w:tc>
          <w:tcPr>
            <w:tcW w:w="3160" w:type="dxa"/>
            <w:vMerge w:val="continue"/>
            <w:tcBorders>
              <w:top w:val="single" w:color="auto" w:sz="4" w:space="0"/>
              <w:left w:val="single" w:color="auto" w:sz="4" w:space="0"/>
              <w:bottom w:val="single" w:color="auto" w:sz="4" w:space="0"/>
              <w:right w:val="single" w:color="auto" w:sz="4" w:space="0"/>
            </w:tcBorders>
            <w:vAlign w:val="center"/>
          </w:tcPr>
          <w:p w14:paraId="09F6753B">
            <w:pPr>
              <w:widowControl/>
              <w:jc w:val="left"/>
              <w:rPr>
                <w:rFonts w:ascii="宋体" w:hAnsi="宋体" w:eastAsia="宋体" w:cs="宋体"/>
                <w:color w:val="000000"/>
                <w:kern w:val="0"/>
                <w:sz w:val="18"/>
                <w:szCs w:val="18"/>
              </w:rPr>
            </w:pPr>
          </w:p>
        </w:tc>
        <w:tc>
          <w:tcPr>
            <w:tcW w:w="3460" w:type="dxa"/>
            <w:vMerge w:val="continue"/>
            <w:tcBorders>
              <w:top w:val="single" w:color="auto" w:sz="4" w:space="0"/>
              <w:left w:val="single" w:color="auto" w:sz="4" w:space="0"/>
              <w:bottom w:val="single" w:color="auto" w:sz="4" w:space="0"/>
              <w:right w:val="single" w:color="auto" w:sz="4" w:space="0"/>
            </w:tcBorders>
            <w:vAlign w:val="center"/>
          </w:tcPr>
          <w:p w14:paraId="12D94BE8">
            <w:pPr>
              <w:widowControl/>
              <w:jc w:val="left"/>
              <w:rPr>
                <w:rFonts w:ascii="宋体" w:hAnsi="宋体" w:eastAsia="宋体" w:cs="宋体"/>
                <w:color w:val="000000"/>
                <w:kern w:val="0"/>
                <w:sz w:val="18"/>
                <w:szCs w:val="18"/>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0DFE1C3">
            <w:pPr>
              <w:widowControl/>
              <w:jc w:val="left"/>
              <w:rPr>
                <w:rFonts w:ascii="宋体" w:hAnsi="宋体" w:eastAsia="宋体" w:cs="宋体"/>
                <w:color w:val="000000"/>
                <w:kern w:val="0"/>
                <w:sz w:val="18"/>
                <w:szCs w:val="18"/>
              </w:rPr>
            </w:pPr>
          </w:p>
        </w:tc>
        <w:tc>
          <w:tcPr>
            <w:tcW w:w="1180" w:type="dxa"/>
            <w:vMerge w:val="continue"/>
            <w:tcBorders>
              <w:top w:val="single" w:color="auto" w:sz="4" w:space="0"/>
              <w:left w:val="single" w:color="auto" w:sz="4" w:space="0"/>
              <w:bottom w:val="single" w:color="auto" w:sz="4" w:space="0"/>
              <w:right w:val="single" w:color="auto" w:sz="4" w:space="0"/>
            </w:tcBorders>
            <w:vAlign w:val="center"/>
          </w:tcPr>
          <w:p w14:paraId="7936631D">
            <w:pPr>
              <w:widowControl/>
              <w:jc w:val="left"/>
              <w:rPr>
                <w:rFonts w:ascii="宋体" w:hAnsi="宋体" w:eastAsia="宋体" w:cs="宋体"/>
                <w:color w:val="000000"/>
                <w:kern w:val="0"/>
                <w:sz w:val="18"/>
                <w:szCs w:val="18"/>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7CF41747">
            <w:pPr>
              <w:widowControl/>
              <w:jc w:val="left"/>
              <w:rPr>
                <w:rFonts w:ascii="宋体" w:hAnsi="宋体" w:eastAsia="宋体" w:cs="宋体"/>
                <w:color w:val="000000"/>
                <w:kern w:val="0"/>
                <w:sz w:val="18"/>
                <w:szCs w:val="18"/>
              </w:rPr>
            </w:pPr>
          </w:p>
        </w:tc>
        <w:tc>
          <w:tcPr>
            <w:tcW w:w="1080" w:type="dxa"/>
            <w:vMerge w:val="continue"/>
            <w:tcBorders>
              <w:top w:val="single" w:color="auto" w:sz="4" w:space="0"/>
              <w:left w:val="single" w:color="auto" w:sz="4" w:space="0"/>
              <w:bottom w:val="single" w:color="auto" w:sz="4" w:space="0"/>
              <w:right w:val="single" w:color="auto" w:sz="4" w:space="0"/>
            </w:tcBorders>
            <w:vAlign w:val="center"/>
          </w:tcPr>
          <w:p w14:paraId="42D9C373">
            <w:pPr>
              <w:widowControl/>
              <w:jc w:val="left"/>
              <w:rPr>
                <w:rFonts w:ascii="宋体" w:hAnsi="宋体" w:eastAsia="宋体" w:cs="宋体"/>
                <w:color w:val="000000"/>
                <w:kern w:val="0"/>
                <w:sz w:val="18"/>
                <w:szCs w:val="18"/>
              </w:rPr>
            </w:pPr>
          </w:p>
        </w:tc>
      </w:tr>
      <w:tr w14:paraId="098765C7">
        <w:tblPrEx>
          <w:tblCellMar>
            <w:top w:w="0" w:type="dxa"/>
            <w:left w:w="108" w:type="dxa"/>
            <w:bottom w:w="0" w:type="dxa"/>
            <w:right w:w="108" w:type="dxa"/>
          </w:tblCellMar>
        </w:tblPrEx>
        <w:trPr>
          <w:trHeight w:val="2025"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4F716D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1</w:t>
            </w:r>
          </w:p>
        </w:tc>
        <w:tc>
          <w:tcPr>
            <w:tcW w:w="1560" w:type="dxa"/>
            <w:tcBorders>
              <w:top w:val="nil"/>
              <w:left w:val="nil"/>
              <w:bottom w:val="single" w:color="auto" w:sz="4" w:space="0"/>
              <w:right w:val="single" w:color="auto" w:sz="4" w:space="0"/>
            </w:tcBorders>
            <w:shd w:val="clear" w:color="auto" w:fill="auto"/>
            <w:vAlign w:val="center"/>
          </w:tcPr>
          <w:p w14:paraId="6A516BA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013306090020000</w:t>
            </w:r>
          </w:p>
        </w:tc>
        <w:tc>
          <w:tcPr>
            <w:tcW w:w="3160" w:type="dxa"/>
            <w:tcBorders>
              <w:top w:val="nil"/>
              <w:left w:val="nil"/>
              <w:bottom w:val="single" w:color="auto" w:sz="4" w:space="0"/>
              <w:right w:val="single" w:color="auto" w:sz="4" w:space="0"/>
            </w:tcBorders>
            <w:shd w:val="clear" w:color="auto" w:fill="auto"/>
            <w:vAlign w:val="center"/>
          </w:tcPr>
          <w:p w14:paraId="5390162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种植体植入费（全牙弓）</w:t>
            </w:r>
          </w:p>
        </w:tc>
        <w:tc>
          <w:tcPr>
            <w:tcW w:w="3460" w:type="dxa"/>
            <w:tcBorders>
              <w:top w:val="nil"/>
              <w:left w:val="nil"/>
              <w:bottom w:val="single" w:color="auto" w:sz="4" w:space="0"/>
              <w:right w:val="single" w:color="auto" w:sz="4" w:space="0"/>
            </w:tcBorders>
            <w:shd w:val="clear" w:color="auto" w:fill="auto"/>
            <w:vAlign w:val="center"/>
          </w:tcPr>
          <w:p w14:paraId="7DA36F3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对范围超过一个象限以上的连续牙齿缺失进行种植体的植入以实现桥式修复。</w:t>
            </w:r>
          </w:p>
        </w:tc>
        <w:tc>
          <w:tcPr>
            <w:tcW w:w="1080" w:type="dxa"/>
            <w:tcBorders>
              <w:top w:val="nil"/>
              <w:left w:val="nil"/>
              <w:bottom w:val="single" w:color="auto" w:sz="4" w:space="0"/>
              <w:right w:val="single" w:color="auto" w:sz="4" w:space="0"/>
            </w:tcBorders>
            <w:shd w:val="clear" w:color="auto" w:fill="auto"/>
            <w:vAlign w:val="center"/>
          </w:tcPr>
          <w:p w14:paraId="337F28D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例</w:t>
            </w:r>
          </w:p>
        </w:tc>
        <w:tc>
          <w:tcPr>
            <w:tcW w:w="1180" w:type="dxa"/>
            <w:tcBorders>
              <w:top w:val="nil"/>
              <w:left w:val="nil"/>
              <w:bottom w:val="single" w:color="auto" w:sz="4" w:space="0"/>
              <w:right w:val="single" w:color="auto" w:sz="4" w:space="0"/>
            </w:tcBorders>
            <w:shd w:val="clear" w:color="auto" w:fill="auto"/>
          </w:tcPr>
          <w:p w14:paraId="45DA236D">
            <w:pPr>
              <w:widowControl/>
              <w:jc w:val="left"/>
              <w:rPr>
                <w:rFonts w:ascii="宋体" w:hAnsi="宋体" w:eastAsia="宋体" w:cs="宋体"/>
                <w:kern w:val="0"/>
                <w:sz w:val="18"/>
                <w:szCs w:val="18"/>
              </w:rPr>
            </w:pPr>
            <w:r>
              <w:rPr>
                <w:rFonts w:hint="eastAsia" w:ascii="宋体" w:hAnsi="宋体" w:eastAsia="宋体" w:cs="宋体"/>
                <w:kern w:val="0"/>
                <w:sz w:val="18"/>
                <w:szCs w:val="18"/>
              </w:rPr>
              <w:t>01 种植体即刻种植加收30%；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02 颅颌面种植体植入加收100%；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03 种植体倾斜植入加收80%</w:t>
            </w:r>
          </w:p>
        </w:tc>
        <w:tc>
          <w:tcPr>
            <w:tcW w:w="1080" w:type="dxa"/>
            <w:tcBorders>
              <w:top w:val="nil"/>
              <w:left w:val="nil"/>
              <w:bottom w:val="single" w:color="auto" w:sz="4" w:space="0"/>
              <w:right w:val="single" w:color="auto" w:sz="4" w:space="0"/>
            </w:tcBorders>
            <w:shd w:val="clear" w:color="auto" w:fill="auto"/>
            <w:vAlign w:val="center"/>
          </w:tcPr>
          <w:p w14:paraId="615D25E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41338.41 </w:t>
            </w:r>
          </w:p>
        </w:tc>
        <w:tc>
          <w:tcPr>
            <w:tcW w:w="1080" w:type="dxa"/>
            <w:tcBorders>
              <w:top w:val="nil"/>
              <w:left w:val="nil"/>
              <w:bottom w:val="single" w:color="auto" w:sz="4" w:space="0"/>
              <w:right w:val="single" w:color="auto" w:sz="4" w:space="0"/>
            </w:tcBorders>
            <w:shd w:val="clear" w:color="auto" w:fill="auto"/>
            <w:vAlign w:val="center"/>
          </w:tcPr>
          <w:p w14:paraId="11BAC01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全口牙按24颗计算</w:t>
            </w:r>
          </w:p>
        </w:tc>
      </w:tr>
      <w:tr w14:paraId="0B9465DD">
        <w:tblPrEx>
          <w:tblCellMar>
            <w:top w:w="0" w:type="dxa"/>
            <w:left w:w="108" w:type="dxa"/>
            <w:bottom w:w="0" w:type="dxa"/>
            <w:right w:w="108" w:type="dxa"/>
          </w:tblCellMar>
        </w:tblPrEx>
        <w:trPr>
          <w:trHeight w:val="45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3EACE86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2</w:t>
            </w:r>
          </w:p>
        </w:tc>
        <w:tc>
          <w:tcPr>
            <w:tcW w:w="1560" w:type="dxa"/>
            <w:tcBorders>
              <w:top w:val="nil"/>
              <w:left w:val="nil"/>
              <w:bottom w:val="single" w:color="auto" w:sz="4" w:space="0"/>
              <w:right w:val="single" w:color="auto" w:sz="4" w:space="0"/>
            </w:tcBorders>
            <w:shd w:val="clear" w:color="auto" w:fill="auto"/>
            <w:vAlign w:val="center"/>
          </w:tcPr>
          <w:p w14:paraId="7C8E248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013306090020001</w:t>
            </w:r>
          </w:p>
        </w:tc>
        <w:tc>
          <w:tcPr>
            <w:tcW w:w="3160" w:type="dxa"/>
            <w:tcBorders>
              <w:top w:val="nil"/>
              <w:left w:val="nil"/>
              <w:bottom w:val="single" w:color="auto" w:sz="4" w:space="0"/>
              <w:right w:val="single" w:color="auto" w:sz="4" w:space="0"/>
            </w:tcBorders>
            <w:shd w:val="clear" w:color="auto" w:fill="auto"/>
            <w:vAlign w:val="center"/>
          </w:tcPr>
          <w:p w14:paraId="43A8556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种植体植入费（全牙弓）-种植体即刻种植（加收）</w:t>
            </w:r>
          </w:p>
        </w:tc>
        <w:tc>
          <w:tcPr>
            <w:tcW w:w="3460" w:type="dxa"/>
            <w:tcBorders>
              <w:top w:val="nil"/>
              <w:left w:val="nil"/>
              <w:bottom w:val="single" w:color="auto" w:sz="4" w:space="0"/>
              <w:right w:val="single" w:color="auto" w:sz="4" w:space="0"/>
            </w:tcBorders>
            <w:shd w:val="clear" w:color="auto" w:fill="auto"/>
            <w:vAlign w:val="center"/>
          </w:tcPr>
          <w:p w14:paraId="3A0FB6A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对范围超过一个象限以上的连续牙齿缺失进行即刻种植体的植入以实现桥式修复。</w:t>
            </w:r>
          </w:p>
        </w:tc>
        <w:tc>
          <w:tcPr>
            <w:tcW w:w="1080" w:type="dxa"/>
            <w:tcBorders>
              <w:top w:val="nil"/>
              <w:left w:val="nil"/>
              <w:bottom w:val="single" w:color="auto" w:sz="4" w:space="0"/>
              <w:right w:val="single" w:color="auto" w:sz="4" w:space="0"/>
            </w:tcBorders>
            <w:shd w:val="clear" w:color="auto" w:fill="auto"/>
            <w:vAlign w:val="center"/>
          </w:tcPr>
          <w:p w14:paraId="5D95241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例</w:t>
            </w:r>
          </w:p>
        </w:tc>
        <w:tc>
          <w:tcPr>
            <w:tcW w:w="1180" w:type="dxa"/>
            <w:tcBorders>
              <w:top w:val="nil"/>
              <w:left w:val="nil"/>
              <w:bottom w:val="single" w:color="auto" w:sz="4" w:space="0"/>
              <w:right w:val="single" w:color="auto" w:sz="4" w:space="0"/>
            </w:tcBorders>
            <w:shd w:val="clear" w:color="auto" w:fill="auto"/>
            <w:vAlign w:val="center"/>
          </w:tcPr>
          <w:p w14:paraId="6B96D24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080" w:type="dxa"/>
            <w:tcBorders>
              <w:top w:val="nil"/>
              <w:left w:val="nil"/>
              <w:bottom w:val="single" w:color="auto" w:sz="4" w:space="0"/>
              <w:right w:val="single" w:color="auto" w:sz="4" w:space="0"/>
            </w:tcBorders>
            <w:shd w:val="clear" w:color="auto" w:fill="auto"/>
            <w:vAlign w:val="center"/>
          </w:tcPr>
          <w:p w14:paraId="1CCA26E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12401.52 </w:t>
            </w:r>
          </w:p>
        </w:tc>
        <w:tc>
          <w:tcPr>
            <w:tcW w:w="1080" w:type="dxa"/>
            <w:tcBorders>
              <w:top w:val="nil"/>
              <w:left w:val="nil"/>
              <w:bottom w:val="single" w:color="auto" w:sz="4" w:space="0"/>
              <w:right w:val="single" w:color="auto" w:sz="4" w:space="0"/>
            </w:tcBorders>
            <w:shd w:val="clear" w:color="auto" w:fill="auto"/>
            <w:vAlign w:val="center"/>
          </w:tcPr>
          <w:p w14:paraId="759058E0">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7A2B7CDE">
        <w:tblPrEx>
          <w:tblCellMar>
            <w:top w:w="0" w:type="dxa"/>
            <w:left w:w="108" w:type="dxa"/>
            <w:bottom w:w="0" w:type="dxa"/>
            <w:right w:w="108" w:type="dxa"/>
          </w:tblCellMar>
        </w:tblPrEx>
        <w:trPr>
          <w:trHeight w:val="675"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6CD846C">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3</w:t>
            </w:r>
          </w:p>
        </w:tc>
        <w:tc>
          <w:tcPr>
            <w:tcW w:w="1560" w:type="dxa"/>
            <w:tcBorders>
              <w:top w:val="nil"/>
              <w:left w:val="nil"/>
              <w:bottom w:val="single" w:color="auto" w:sz="4" w:space="0"/>
              <w:right w:val="single" w:color="auto" w:sz="4" w:space="0"/>
            </w:tcBorders>
            <w:shd w:val="clear" w:color="auto" w:fill="auto"/>
            <w:vAlign w:val="center"/>
          </w:tcPr>
          <w:p w14:paraId="7A2CDFD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013306090020002</w:t>
            </w:r>
          </w:p>
        </w:tc>
        <w:tc>
          <w:tcPr>
            <w:tcW w:w="3160" w:type="dxa"/>
            <w:tcBorders>
              <w:top w:val="nil"/>
              <w:left w:val="nil"/>
              <w:bottom w:val="single" w:color="auto" w:sz="4" w:space="0"/>
              <w:right w:val="single" w:color="auto" w:sz="4" w:space="0"/>
            </w:tcBorders>
            <w:shd w:val="clear" w:color="auto" w:fill="auto"/>
            <w:vAlign w:val="center"/>
          </w:tcPr>
          <w:p w14:paraId="3CFB70D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种植体植入费（全牙弓）-颅颌面种植体植入（加收）</w:t>
            </w:r>
          </w:p>
        </w:tc>
        <w:tc>
          <w:tcPr>
            <w:tcW w:w="3460" w:type="dxa"/>
            <w:tcBorders>
              <w:top w:val="nil"/>
              <w:left w:val="nil"/>
              <w:bottom w:val="single" w:color="auto" w:sz="4" w:space="0"/>
              <w:right w:val="single" w:color="auto" w:sz="4" w:space="0"/>
            </w:tcBorders>
            <w:shd w:val="clear" w:color="auto" w:fill="auto"/>
            <w:vAlign w:val="center"/>
          </w:tcPr>
          <w:p w14:paraId="6715B81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对范围超过一个象限以上的连续牙齿缺失进行颅颌面种植体的植入以实现桥式修复。</w:t>
            </w:r>
          </w:p>
        </w:tc>
        <w:tc>
          <w:tcPr>
            <w:tcW w:w="1080" w:type="dxa"/>
            <w:tcBorders>
              <w:top w:val="nil"/>
              <w:left w:val="nil"/>
              <w:bottom w:val="single" w:color="auto" w:sz="4" w:space="0"/>
              <w:right w:val="single" w:color="auto" w:sz="4" w:space="0"/>
            </w:tcBorders>
            <w:shd w:val="clear" w:color="auto" w:fill="auto"/>
            <w:vAlign w:val="center"/>
          </w:tcPr>
          <w:p w14:paraId="1C948319">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例</w:t>
            </w:r>
            <w:r>
              <w:rPr>
                <w:rFonts w:ascii="宋体" w:hAnsi="宋体" w:eastAsia="宋体" w:cs="宋体"/>
                <w:color w:val="000000"/>
                <w:kern w:val="0"/>
                <w:sz w:val="18"/>
                <w:szCs w:val="18"/>
              </w:rPr>
              <w:t xml:space="preserve">    </w:t>
            </w:r>
          </w:p>
        </w:tc>
        <w:tc>
          <w:tcPr>
            <w:tcW w:w="1180" w:type="dxa"/>
            <w:tcBorders>
              <w:top w:val="nil"/>
              <w:left w:val="nil"/>
              <w:bottom w:val="single" w:color="auto" w:sz="4" w:space="0"/>
              <w:right w:val="single" w:color="auto" w:sz="4" w:space="0"/>
            </w:tcBorders>
            <w:shd w:val="clear" w:color="auto" w:fill="auto"/>
            <w:vAlign w:val="center"/>
          </w:tcPr>
          <w:p w14:paraId="6EF0B8D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080" w:type="dxa"/>
            <w:tcBorders>
              <w:top w:val="nil"/>
              <w:left w:val="nil"/>
              <w:bottom w:val="single" w:color="auto" w:sz="4" w:space="0"/>
              <w:right w:val="single" w:color="auto" w:sz="4" w:space="0"/>
            </w:tcBorders>
            <w:shd w:val="clear" w:color="auto" w:fill="auto"/>
            <w:vAlign w:val="center"/>
          </w:tcPr>
          <w:p w14:paraId="6C4F22C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1722.43 </w:t>
            </w:r>
          </w:p>
        </w:tc>
        <w:tc>
          <w:tcPr>
            <w:tcW w:w="1080" w:type="dxa"/>
            <w:tcBorders>
              <w:top w:val="nil"/>
              <w:left w:val="nil"/>
              <w:bottom w:val="single" w:color="auto" w:sz="4" w:space="0"/>
              <w:right w:val="single" w:color="auto" w:sz="4" w:space="0"/>
            </w:tcBorders>
            <w:shd w:val="clear" w:color="auto" w:fill="auto"/>
            <w:vAlign w:val="center"/>
          </w:tcPr>
          <w:p w14:paraId="1EA2886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93FB94D">
        <w:tblPrEx>
          <w:tblCellMar>
            <w:top w:w="0" w:type="dxa"/>
            <w:left w:w="108" w:type="dxa"/>
            <w:bottom w:w="0" w:type="dxa"/>
            <w:right w:w="108" w:type="dxa"/>
          </w:tblCellMar>
        </w:tblPrEx>
        <w:trPr>
          <w:trHeight w:val="45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04A57551">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4</w:t>
            </w:r>
          </w:p>
        </w:tc>
        <w:tc>
          <w:tcPr>
            <w:tcW w:w="1560" w:type="dxa"/>
            <w:tcBorders>
              <w:top w:val="nil"/>
              <w:left w:val="nil"/>
              <w:bottom w:val="single" w:color="auto" w:sz="4" w:space="0"/>
              <w:right w:val="single" w:color="auto" w:sz="4" w:space="0"/>
            </w:tcBorders>
            <w:shd w:val="clear" w:color="auto" w:fill="auto"/>
            <w:vAlign w:val="center"/>
          </w:tcPr>
          <w:p w14:paraId="4269BBD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013306090020003</w:t>
            </w:r>
          </w:p>
        </w:tc>
        <w:tc>
          <w:tcPr>
            <w:tcW w:w="3160" w:type="dxa"/>
            <w:tcBorders>
              <w:top w:val="nil"/>
              <w:left w:val="nil"/>
              <w:bottom w:val="single" w:color="auto" w:sz="4" w:space="0"/>
              <w:right w:val="single" w:color="auto" w:sz="4" w:space="0"/>
            </w:tcBorders>
            <w:shd w:val="clear" w:color="auto" w:fill="auto"/>
            <w:vAlign w:val="center"/>
          </w:tcPr>
          <w:p w14:paraId="6A4866D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种植体植入费（全牙弓）-种植体倾斜植入（加收）</w:t>
            </w:r>
          </w:p>
        </w:tc>
        <w:tc>
          <w:tcPr>
            <w:tcW w:w="3460" w:type="dxa"/>
            <w:tcBorders>
              <w:top w:val="nil"/>
              <w:left w:val="nil"/>
              <w:bottom w:val="single" w:color="auto" w:sz="4" w:space="0"/>
              <w:right w:val="single" w:color="auto" w:sz="4" w:space="0"/>
            </w:tcBorders>
            <w:shd w:val="clear" w:color="auto" w:fill="auto"/>
            <w:vAlign w:val="center"/>
          </w:tcPr>
          <w:p w14:paraId="4E32F231">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对范围超过一个象限以上的连续牙齿缺失进行种植体倾斜的植入以实现桥式修复。</w:t>
            </w:r>
          </w:p>
        </w:tc>
        <w:tc>
          <w:tcPr>
            <w:tcW w:w="1080" w:type="dxa"/>
            <w:tcBorders>
              <w:top w:val="nil"/>
              <w:left w:val="nil"/>
              <w:bottom w:val="single" w:color="auto" w:sz="4" w:space="0"/>
              <w:right w:val="single" w:color="auto" w:sz="4" w:space="0"/>
            </w:tcBorders>
            <w:shd w:val="clear" w:color="auto" w:fill="auto"/>
            <w:vAlign w:val="center"/>
          </w:tcPr>
          <w:p w14:paraId="5799EFE0">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例</w:t>
            </w:r>
            <w:r>
              <w:rPr>
                <w:rFonts w:ascii="宋体" w:hAnsi="宋体" w:eastAsia="宋体" w:cs="宋体"/>
                <w:color w:val="000000"/>
                <w:kern w:val="0"/>
                <w:sz w:val="18"/>
                <w:szCs w:val="18"/>
              </w:rPr>
              <w:t xml:space="preserve">   </w:t>
            </w:r>
          </w:p>
        </w:tc>
        <w:tc>
          <w:tcPr>
            <w:tcW w:w="1180" w:type="dxa"/>
            <w:tcBorders>
              <w:top w:val="nil"/>
              <w:left w:val="nil"/>
              <w:bottom w:val="single" w:color="auto" w:sz="4" w:space="0"/>
              <w:right w:val="single" w:color="auto" w:sz="4" w:space="0"/>
            </w:tcBorders>
            <w:shd w:val="clear" w:color="auto" w:fill="auto"/>
            <w:vAlign w:val="center"/>
          </w:tcPr>
          <w:p w14:paraId="628425AF">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080" w:type="dxa"/>
            <w:tcBorders>
              <w:top w:val="nil"/>
              <w:left w:val="nil"/>
              <w:bottom w:val="single" w:color="auto" w:sz="4" w:space="0"/>
              <w:right w:val="single" w:color="auto" w:sz="4" w:space="0"/>
            </w:tcBorders>
            <w:shd w:val="clear" w:color="auto" w:fill="auto"/>
            <w:vAlign w:val="center"/>
          </w:tcPr>
          <w:p w14:paraId="545C6029">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1377.95 </w:t>
            </w:r>
          </w:p>
        </w:tc>
        <w:tc>
          <w:tcPr>
            <w:tcW w:w="1080" w:type="dxa"/>
            <w:tcBorders>
              <w:top w:val="nil"/>
              <w:left w:val="nil"/>
              <w:bottom w:val="single" w:color="auto" w:sz="4" w:space="0"/>
              <w:right w:val="single" w:color="auto" w:sz="4" w:space="0"/>
            </w:tcBorders>
            <w:shd w:val="clear" w:color="auto" w:fill="auto"/>
            <w:vAlign w:val="center"/>
          </w:tcPr>
          <w:p w14:paraId="7EF76FF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438017FB">
        <w:tblPrEx>
          <w:tblCellMar>
            <w:top w:w="0" w:type="dxa"/>
            <w:left w:w="108" w:type="dxa"/>
            <w:bottom w:w="0" w:type="dxa"/>
            <w:right w:w="108" w:type="dxa"/>
          </w:tblCellMar>
        </w:tblPrEx>
        <w:trPr>
          <w:trHeight w:val="90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42438265">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5</w:t>
            </w:r>
          </w:p>
        </w:tc>
        <w:tc>
          <w:tcPr>
            <w:tcW w:w="1560" w:type="dxa"/>
            <w:tcBorders>
              <w:top w:val="nil"/>
              <w:left w:val="nil"/>
              <w:bottom w:val="single" w:color="auto" w:sz="4" w:space="0"/>
              <w:right w:val="single" w:color="auto" w:sz="4" w:space="0"/>
            </w:tcBorders>
            <w:shd w:val="clear" w:color="auto" w:fill="auto"/>
            <w:vAlign w:val="center"/>
          </w:tcPr>
          <w:p w14:paraId="43BECC7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013105170030000</w:t>
            </w:r>
          </w:p>
        </w:tc>
        <w:tc>
          <w:tcPr>
            <w:tcW w:w="3160" w:type="dxa"/>
            <w:tcBorders>
              <w:top w:val="nil"/>
              <w:left w:val="nil"/>
              <w:bottom w:val="single" w:color="auto" w:sz="4" w:space="0"/>
              <w:right w:val="single" w:color="auto" w:sz="4" w:space="0"/>
            </w:tcBorders>
            <w:shd w:val="clear" w:color="auto" w:fill="auto"/>
            <w:vAlign w:val="center"/>
          </w:tcPr>
          <w:p w14:paraId="41C9CE82">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种植牙冠修复置入费</w:t>
            </w:r>
            <w:r>
              <w:rPr>
                <w:rFonts w:hint="eastAsia" w:ascii="仿宋_GB2312" w:hAnsi="宋体" w:eastAsia="仿宋_GB2312" w:cs="宋体"/>
                <w:color w:val="000000"/>
                <w:kern w:val="0"/>
                <w:sz w:val="18"/>
                <w:szCs w:val="18"/>
              </w:rPr>
              <w:t>（固定咬合重建）</w:t>
            </w:r>
          </w:p>
        </w:tc>
        <w:tc>
          <w:tcPr>
            <w:tcW w:w="3460" w:type="dxa"/>
            <w:tcBorders>
              <w:top w:val="nil"/>
              <w:left w:val="nil"/>
              <w:bottom w:val="single" w:color="auto" w:sz="4" w:space="0"/>
              <w:right w:val="single" w:color="auto" w:sz="4" w:space="0"/>
            </w:tcBorders>
            <w:shd w:val="clear" w:color="auto" w:fill="auto"/>
            <w:vAlign w:val="center"/>
          </w:tcPr>
          <w:p w14:paraId="74B9D33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实现对咬合支持丧失、半口牙齿缺失或全口牙齿缺失的种植体上部固定义齿的修复置入。</w:t>
            </w:r>
          </w:p>
        </w:tc>
        <w:tc>
          <w:tcPr>
            <w:tcW w:w="1080" w:type="dxa"/>
            <w:tcBorders>
              <w:top w:val="nil"/>
              <w:left w:val="nil"/>
              <w:bottom w:val="single" w:color="auto" w:sz="4" w:space="0"/>
              <w:right w:val="single" w:color="auto" w:sz="4" w:space="0"/>
            </w:tcBorders>
            <w:shd w:val="clear" w:color="auto" w:fill="auto"/>
            <w:vAlign w:val="center"/>
          </w:tcPr>
          <w:p w14:paraId="12C41DC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件</w:t>
            </w:r>
          </w:p>
        </w:tc>
        <w:tc>
          <w:tcPr>
            <w:tcW w:w="1180" w:type="dxa"/>
            <w:tcBorders>
              <w:top w:val="nil"/>
              <w:left w:val="nil"/>
              <w:bottom w:val="single" w:color="auto" w:sz="4" w:space="0"/>
              <w:right w:val="single" w:color="auto" w:sz="4" w:space="0"/>
            </w:tcBorders>
            <w:shd w:val="clear" w:color="auto" w:fill="auto"/>
            <w:vAlign w:val="center"/>
          </w:tcPr>
          <w:p w14:paraId="66049650">
            <w:pPr>
              <w:widowControl/>
              <w:jc w:val="left"/>
              <w:rPr>
                <w:rFonts w:ascii="宋体" w:hAnsi="宋体" w:eastAsia="宋体" w:cs="宋体"/>
                <w:kern w:val="0"/>
                <w:sz w:val="18"/>
                <w:szCs w:val="18"/>
              </w:rPr>
            </w:pPr>
            <w:r>
              <w:rPr>
                <w:rFonts w:hint="eastAsia" w:ascii="宋体" w:hAnsi="宋体" w:eastAsia="宋体" w:cs="宋体"/>
                <w:kern w:val="0"/>
                <w:sz w:val="18"/>
                <w:szCs w:val="18"/>
              </w:rPr>
              <w:t>“件”为半口；</w:t>
            </w:r>
            <w:r>
              <w:rPr>
                <w:rFonts w:hint="eastAsia" w:ascii="宋体" w:hAnsi="宋体" w:eastAsia="宋体" w:cs="宋体"/>
                <w:kern w:val="0"/>
                <w:sz w:val="18"/>
                <w:szCs w:val="18"/>
              </w:rPr>
              <w:br w:type="textWrapping"/>
            </w:r>
            <w:r>
              <w:rPr>
                <w:rFonts w:hint="eastAsia" w:ascii="宋体" w:hAnsi="宋体" w:eastAsia="宋体" w:cs="宋体"/>
                <w:kern w:val="0"/>
                <w:sz w:val="18"/>
                <w:szCs w:val="18"/>
              </w:rPr>
              <w:t>01 即刻修复置入加收30%</w:t>
            </w:r>
          </w:p>
        </w:tc>
        <w:tc>
          <w:tcPr>
            <w:tcW w:w="1080" w:type="dxa"/>
            <w:tcBorders>
              <w:top w:val="nil"/>
              <w:left w:val="nil"/>
              <w:bottom w:val="single" w:color="auto" w:sz="4" w:space="0"/>
              <w:right w:val="single" w:color="auto" w:sz="4" w:space="0"/>
            </w:tcBorders>
            <w:shd w:val="clear" w:color="auto" w:fill="auto"/>
            <w:vAlign w:val="center"/>
          </w:tcPr>
          <w:p w14:paraId="74F4E88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18892.79 </w:t>
            </w:r>
          </w:p>
        </w:tc>
        <w:tc>
          <w:tcPr>
            <w:tcW w:w="1080" w:type="dxa"/>
            <w:tcBorders>
              <w:top w:val="nil"/>
              <w:left w:val="nil"/>
              <w:bottom w:val="single" w:color="auto" w:sz="4" w:space="0"/>
              <w:right w:val="single" w:color="auto" w:sz="4" w:space="0"/>
            </w:tcBorders>
            <w:shd w:val="clear" w:color="auto" w:fill="auto"/>
            <w:vAlign w:val="center"/>
          </w:tcPr>
          <w:p w14:paraId="0EF9CC6B">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10ED8715">
        <w:tblPrEx>
          <w:tblCellMar>
            <w:top w:w="0" w:type="dxa"/>
            <w:left w:w="108" w:type="dxa"/>
            <w:bottom w:w="0" w:type="dxa"/>
            <w:right w:w="108" w:type="dxa"/>
          </w:tblCellMar>
        </w:tblPrEx>
        <w:trPr>
          <w:trHeight w:val="675"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5380C6AD">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6</w:t>
            </w:r>
          </w:p>
        </w:tc>
        <w:tc>
          <w:tcPr>
            <w:tcW w:w="1560" w:type="dxa"/>
            <w:tcBorders>
              <w:top w:val="nil"/>
              <w:left w:val="nil"/>
              <w:bottom w:val="single" w:color="auto" w:sz="4" w:space="0"/>
              <w:right w:val="single" w:color="auto" w:sz="4" w:space="0"/>
            </w:tcBorders>
            <w:shd w:val="clear" w:color="auto" w:fill="auto"/>
            <w:vAlign w:val="center"/>
          </w:tcPr>
          <w:p w14:paraId="07546A1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013105170030001</w:t>
            </w:r>
          </w:p>
        </w:tc>
        <w:tc>
          <w:tcPr>
            <w:tcW w:w="3160" w:type="dxa"/>
            <w:tcBorders>
              <w:top w:val="nil"/>
              <w:left w:val="nil"/>
              <w:bottom w:val="single" w:color="auto" w:sz="4" w:space="0"/>
              <w:right w:val="single" w:color="auto" w:sz="4" w:space="0"/>
            </w:tcBorders>
            <w:shd w:val="clear" w:color="auto" w:fill="auto"/>
            <w:vAlign w:val="center"/>
          </w:tcPr>
          <w:p w14:paraId="5C96CB3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种植牙冠修复置入费（固定咬合重建）-即刻修复置入（加收）</w:t>
            </w:r>
          </w:p>
        </w:tc>
        <w:tc>
          <w:tcPr>
            <w:tcW w:w="3460" w:type="dxa"/>
            <w:tcBorders>
              <w:top w:val="nil"/>
              <w:left w:val="nil"/>
              <w:bottom w:val="single" w:color="auto" w:sz="4" w:space="0"/>
              <w:right w:val="single" w:color="auto" w:sz="4" w:space="0"/>
            </w:tcBorders>
            <w:shd w:val="clear" w:color="auto" w:fill="auto"/>
            <w:vAlign w:val="center"/>
          </w:tcPr>
          <w:p w14:paraId="3D4A1CF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实现对咬合支持丧失、半口牙齿缺失或全口牙齿缺失的种植体上部固定义齿的即刻修复置入。</w:t>
            </w:r>
          </w:p>
        </w:tc>
        <w:tc>
          <w:tcPr>
            <w:tcW w:w="1080" w:type="dxa"/>
            <w:tcBorders>
              <w:top w:val="nil"/>
              <w:left w:val="nil"/>
              <w:bottom w:val="single" w:color="auto" w:sz="4" w:space="0"/>
              <w:right w:val="single" w:color="auto" w:sz="4" w:space="0"/>
            </w:tcBorders>
            <w:shd w:val="clear" w:color="auto" w:fill="auto"/>
            <w:vAlign w:val="center"/>
          </w:tcPr>
          <w:p w14:paraId="1142AA3E">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件</w:t>
            </w:r>
          </w:p>
        </w:tc>
        <w:tc>
          <w:tcPr>
            <w:tcW w:w="1180" w:type="dxa"/>
            <w:tcBorders>
              <w:top w:val="nil"/>
              <w:left w:val="nil"/>
              <w:bottom w:val="single" w:color="auto" w:sz="4" w:space="0"/>
              <w:right w:val="single" w:color="auto" w:sz="4" w:space="0"/>
            </w:tcBorders>
            <w:shd w:val="clear" w:color="auto" w:fill="auto"/>
          </w:tcPr>
          <w:p w14:paraId="0D719AF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080" w:type="dxa"/>
            <w:tcBorders>
              <w:top w:val="nil"/>
              <w:left w:val="nil"/>
              <w:bottom w:val="single" w:color="auto" w:sz="4" w:space="0"/>
              <w:right w:val="single" w:color="auto" w:sz="4" w:space="0"/>
            </w:tcBorders>
            <w:shd w:val="clear" w:color="auto" w:fill="auto"/>
            <w:vAlign w:val="center"/>
          </w:tcPr>
          <w:p w14:paraId="6F3BD61A">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5667.80 </w:t>
            </w:r>
          </w:p>
        </w:tc>
        <w:tc>
          <w:tcPr>
            <w:tcW w:w="1080" w:type="dxa"/>
            <w:tcBorders>
              <w:top w:val="nil"/>
              <w:left w:val="nil"/>
              <w:bottom w:val="single" w:color="auto" w:sz="4" w:space="0"/>
              <w:right w:val="single" w:color="auto" w:sz="4" w:space="0"/>
            </w:tcBorders>
            <w:shd w:val="clear" w:color="auto" w:fill="auto"/>
            <w:vAlign w:val="center"/>
          </w:tcPr>
          <w:p w14:paraId="0FA9E8C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2658EEFF">
        <w:tblPrEx>
          <w:tblCellMar>
            <w:top w:w="0" w:type="dxa"/>
            <w:left w:w="108" w:type="dxa"/>
            <w:bottom w:w="0" w:type="dxa"/>
            <w:right w:w="108" w:type="dxa"/>
          </w:tblCellMar>
        </w:tblPrEx>
        <w:trPr>
          <w:trHeight w:val="90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47A42C74">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7</w:t>
            </w:r>
          </w:p>
        </w:tc>
        <w:tc>
          <w:tcPr>
            <w:tcW w:w="1560" w:type="dxa"/>
            <w:tcBorders>
              <w:top w:val="nil"/>
              <w:left w:val="nil"/>
              <w:bottom w:val="single" w:color="auto" w:sz="4" w:space="0"/>
              <w:right w:val="single" w:color="auto" w:sz="4" w:space="0"/>
            </w:tcBorders>
            <w:shd w:val="clear" w:color="auto" w:fill="auto"/>
            <w:vAlign w:val="center"/>
          </w:tcPr>
          <w:p w14:paraId="6E4E28FD">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013105230010000</w:t>
            </w:r>
          </w:p>
        </w:tc>
        <w:tc>
          <w:tcPr>
            <w:tcW w:w="3160" w:type="dxa"/>
            <w:tcBorders>
              <w:top w:val="nil"/>
              <w:left w:val="nil"/>
              <w:bottom w:val="single" w:color="auto" w:sz="4" w:space="0"/>
              <w:right w:val="single" w:color="auto" w:sz="4" w:space="0"/>
            </w:tcBorders>
            <w:shd w:val="clear" w:color="auto" w:fill="auto"/>
            <w:vAlign w:val="center"/>
          </w:tcPr>
          <w:p w14:paraId="7C9D652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种植可摘修复置入费</w:t>
            </w:r>
          </w:p>
        </w:tc>
        <w:tc>
          <w:tcPr>
            <w:tcW w:w="3460" w:type="dxa"/>
            <w:tcBorders>
              <w:top w:val="nil"/>
              <w:left w:val="nil"/>
              <w:bottom w:val="single" w:color="auto" w:sz="4" w:space="0"/>
              <w:right w:val="single" w:color="auto" w:sz="4" w:space="0"/>
            </w:tcBorders>
            <w:shd w:val="clear" w:color="auto" w:fill="auto"/>
            <w:vAlign w:val="center"/>
          </w:tcPr>
          <w:p w14:paraId="45286CAE">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实现种植体上部可摘修复体的置入。</w:t>
            </w:r>
          </w:p>
        </w:tc>
        <w:tc>
          <w:tcPr>
            <w:tcW w:w="1080" w:type="dxa"/>
            <w:tcBorders>
              <w:top w:val="nil"/>
              <w:left w:val="nil"/>
              <w:bottom w:val="single" w:color="auto" w:sz="4" w:space="0"/>
              <w:right w:val="single" w:color="auto" w:sz="4" w:space="0"/>
            </w:tcBorders>
            <w:shd w:val="clear" w:color="auto" w:fill="auto"/>
            <w:vAlign w:val="center"/>
          </w:tcPr>
          <w:p w14:paraId="734CB5C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件</w:t>
            </w:r>
          </w:p>
        </w:tc>
        <w:tc>
          <w:tcPr>
            <w:tcW w:w="1180" w:type="dxa"/>
            <w:tcBorders>
              <w:top w:val="nil"/>
              <w:left w:val="nil"/>
              <w:bottom w:val="single" w:color="auto" w:sz="4" w:space="0"/>
              <w:right w:val="single" w:color="auto" w:sz="4" w:space="0"/>
            </w:tcBorders>
            <w:shd w:val="clear" w:color="auto" w:fill="auto"/>
            <w:vAlign w:val="center"/>
          </w:tcPr>
          <w:p w14:paraId="3DE3E917">
            <w:pPr>
              <w:widowControl/>
              <w:jc w:val="left"/>
              <w:rPr>
                <w:rFonts w:ascii="宋体" w:hAnsi="宋体" w:eastAsia="宋体" w:cs="宋体"/>
                <w:kern w:val="0"/>
                <w:sz w:val="18"/>
                <w:szCs w:val="18"/>
              </w:rPr>
            </w:pPr>
            <w:r>
              <w:rPr>
                <w:rFonts w:hint="eastAsia" w:ascii="宋体" w:hAnsi="宋体" w:eastAsia="宋体" w:cs="宋体"/>
                <w:kern w:val="0"/>
                <w:sz w:val="18"/>
                <w:szCs w:val="18"/>
              </w:rPr>
              <w:t>“件”为半口；</w:t>
            </w:r>
            <w:r>
              <w:rPr>
                <w:rFonts w:hint="eastAsia" w:ascii="宋体" w:hAnsi="宋体" w:eastAsia="宋体" w:cs="宋体"/>
                <w:kern w:val="0"/>
                <w:sz w:val="18"/>
                <w:szCs w:val="18"/>
              </w:rPr>
              <w:br w:type="textWrapping"/>
            </w:r>
            <w:r>
              <w:rPr>
                <w:rFonts w:hint="eastAsia" w:ascii="宋体" w:hAnsi="宋体" w:eastAsia="宋体" w:cs="宋体"/>
                <w:kern w:val="0"/>
                <w:sz w:val="18"/>
                <w:szCs w:val="18"/>
              </w:rPr>
              <w:t>01 即刻修复置入加收30%</w:t>
            </w:r>
          </w:p>
        </w:tc>
        <w:tc>
          <w:tcPr>
            <w:tcW w:w="1080" w:type="dxa"/>
            <w:tcBorders>
              <w:top w:val="nil"/>
              <w:left w:val="nil"/>
              <w:bottom w:val="single" w:color="auto" w:sz="4" w:space="0"/>
              <w:right w:val="single" w:color="auto" w:sz="4" w:space="0"/>
            </w:tcBorders>
            <w:shd w:val="clear" w:color="auto" w:fill="auto"/>
            <w:vAlign w:val="center"/>
          </w:tcPr>
          <w:p w14:paraId="7A5FF1F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9692.56 </w:t>
            </w:r>
          </w:p>
        </w:tc>
        <w:tc>
          <w:tcPr>
            <w:tcW w:w="1080" w:type="dxa"/>
            <w:tcBorders>
              <w:top w:val="nil"/>
              <w:left w:val="nil"/>
              <w:bottom w:val="single" w:color="auto" w:sz="4" w:space="0"/>
              <w:right w:val="single" w:color="auto" w:sz="4" w:space="0"/>
            </w:tcBorders>
            <w:shd w:val="clear" w:color="auto" w:fill="auto"/>
            <w:vAlign w:val="center"/>
          </w:tcPr>
          <w:p w14:paraId="6EFECA66">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r w14:paraId="3A4C2F2E">
        <w:tblPrEx>
          <w:tblCellMar>
            <w:top w:w="0" w:type="dxa"/>
            <w:left w:w="108" w:type="dxa"/>
            <w:bottom w:w="0" w:type="dxa"/>
            <w:right w:w="108" w:type="dxa"/>
          </w:tblCellMar>
        </w:tblPrEx>
        <w:trPr>
          <w:trHeight w:val="450" w:hRule="atLeast"/>
        </w:trPr>
        <w:tc>
          <w:tcPr>
            <w:tcW w:w="1080" w:type="dxa"/>
            <w:tcBorders>
              <w:top w:val="nil"/>
              <w:left w:val="single" w:color="auto" w:sz="4" w:space="0"/>
              <w:bottom w:val="single" w:color="auto" w:sz="4" w:space="0"/>
              <w:right w:val="single" w:color="auto" w:sz="4" w:space="0"/>
            </w:tcBorders>
            <w:shd w:val="clear" w:color="auto" w:fill="auto"/>
            <w:vAlign w:val="center"/>
          </w:tcPr>
          <w:p w14:paraId="35796168">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8</w:t>
            </w:r>
          </w:p>
        </w:tc>
        <w:tc>
          <w:tcPr>
            <w:tcW w:w="1560" w:type="dxa"/>
            <w:tcBorders>
              <w:top w:val="nil"/>
              <w:left w:val="nil"/>
              <w:bottom w:val="single" w:color="auto" w:sz="4" w:space="0"/>
              <w:right w:val="single" w:color="auto" w:sz="4" w:space="0"/>
            </w:tcBorders>
            <w:shd w:val="clear" w:color="auto" w:fill="auto"/>
            <w:vAlign w:val="center"/>
          </w:tcPr>
          <w:p w14:paraId="70C412EC">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013105230010001</w:t>
            </w:r>
          </w:p>
        </w:tc>
        <w:tc>
          <w:tcPr>
            <w:tcW w:w="3160" w:type="dxa"/>
            <w:tcBorders>
              <w:top w:val="nil"/>
              <w:left w:val="nil"/>
              <w:bottom w:val="single" w:color="auto" w:sz="4" w:space="0"/>
              <w:right w:val="single" w:color="auto" w:sz="4" w:space="0"/>
            </w:tcBorders>
            <w:shd w:val="clear" w:color="auto" w:fill="auto"/>
            <w:vAlign w:val="center"/>
          </w:tcPr>
          <w:p w14:paraId="349E73B7">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种植可摘修复置入费</w:t>
            </w:r>
            <w:r>
              <w:rPr>
                <w:rFonts w:hint="eastAsia" w:ascii="仿宋_GB2312" w:hAnsi="宋体" w:eastAsia="仿宋_GB2312" w:cs="宋体"/>
                <w:color w:val="000000"/>
                <w:kern w:val="0"/>
                <w:sz w:val="18"/>
                <w:szCs w:val="18"/>
              </w:rPr>
              <w:t>-即刻修复置入（加收）</w:t>
            </w:r>
          </w:p>
        </w:tc>
        <w:tc>
          <w:tcPr>
            <w:tcW w:w="3460" w:type="dxa"/>
            <w:tcBorders>
              <w:top w:val="nil"/>
              <w:left w:val="nil"/>
              <w:bottom w:val="single" w:color="auto" w:sz="4" w:space="0"/>
              <w:right w:val="single" w:color="auto" w:sz="4" w:space="0"/>
            </w:tcBorders>
            <w:shd w:val="clear" w:color="auto" w:fill="auto"/>
            <w:vAlign w:val="center"/>
          </w:tcPr>
          <w:p w14:paraId="79688AA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实现种植体上部可摘修复体的即刻修复置入。</w:t>
            </w:r>
          </w:p>
        </w:tc>
        <w:tc>
          <w:tcPr>
            <w:tcW w:w="1080" w:type="dxa"/>
            <w:tcBorders>
              <w:top w:val="nil"/>
              <w:left w:val="nil"/>
              <w:bottom w:val="single" w:color="auto" w:sz="4" w:space="0"/>
              <w:right w:val="single" w:color="auto" w:sz="4" w:space="0"/>
            </w:tcBorders>
            <w:shd w:val="clear" w:color="auto" w:fill="auto"/>
            <w:vAlign w:val="center"/>
          </w:tcPr>
          <w:p w14:paraId="08306107">
            <w:pPr>
              <w:widowControl/>
              <w:jc w:val="center"/>
              <w:rPr>
                <w:rFonts w:ascii="宋体" w:hAnsi="宋体" w:eastAsia="宋体" w:cs="宋体"/>
                <w:color w:val="000000"/>
                <w:kern w:val="0"/>
                <w:sz w:val="18"/>
                <w:szCs w:val="18"/>
              </w:rPr>
            </w:pPr>
            <w:r>
              <w:rPr>
                <w:rFonts w:hint="eastAsia" w:ascii="宋体" w:hAnsi="宋体" w:eastAsia="宋体" w:cs="宋体"/>
                <w:color w:val="000000"/>
                <w:kern w:val="0"/>
                <w:sz w:val="18"/>
                <w:szCs w:val="18"/>
              </w:rPr>
              <w:t>件</w:t>
            </w:r>
          </w:p>
        </w:tc>
        <w:tc>
          <w:tcPr>
            <w:tcW w:w="1180" w:type="dxa"/>
            <w:tcBorders>
              <w:top w:val="nil"/>
              <w:left w:val="nil"/>
              <w:bottom w:val="single" w:color="auto" w:sz="4" w:space="0"/>
              <w:right w:val="single" w:color="auto" w:sz="4" w:space="0"/>
            </w:tcBorders>
            <w:shd w:val="clear" w:color="auto" w:fill="auto"/>
            <w:vAlign w:val="center"/>
          </w:tcPr>
          <w:p w14:paraId="147FBF25">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c>
          <w:tcPr>
            <w:tcW w:w="1080" w:type="dxa"/>
            <w:tcBorders>
              <w:top w:val="nil"/>
              <w:left w:val="nil"/>
              <w:bottom w:val="single" w:color="auto" w:sz="4" w:space="0"/>
              <w:right w:val="single" w:color="auto" w:sz="4" w:space="0"/>
            </w:tcBorders>
            <w:shd w:val="clear" w:color="auto" w:fill="auto"/>
            <w:vAlign w:val="center"/>
          </w:tcPr>
          <w:p w14:paraId="32C218D4">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xml:space="preserve">2907.77 </w:t>
            </w:r>
          </w:p>
        </w:tc>
        <w:tc>
          <w:tcPr>
            <w:tcW w:w="1080" w:type="dxa"/>
            <w:tcBorders>
              <w:top w:val="nil"/>
              <w:left w:val="nil"/>
              <w:bottom w:val="single" w:color="auto" w:sz="4" w:space="0"/>
              <w:right w:val="single" w:color="auto" w:sz="4" w:space="0"/>
            </w:tcBorders>
            <w:shd w:val="clear" w:color="auto" w:fill="auto"/>
            <w:vAlign w:val="center"/>
          </w:tcPr>
          <w:p w14:paraId="755F8868">
            <w:pPr>
              <w:widowControl/>
              <w:jc w:val="left"/>
              <w:rPr>
                <w:rFonts w:ascii="宋体" w:hAnsi="宋体" w:eastAsia="宋体" w:cs="宋体"/>
                <w:color w:val="000000"/>
                <w:kern w:val="0"/>
                <w:sz w:val="18"/>
                <w:szCs w:val="18"/>
              </w:rPr>
            </w:pPr>
            <w:r>
              <w:rPr>
                <w:rFonts w:hint="eastAsia" w:ascii="宋体" w:hAnsi="宋体" w:eastAsia="宋体" w:cs="宋体"/>
                <w:color w:val="000000"/>
                <w:kern w:val="0"/>
                <w:sz w:val="18"/>
                <w:szCs w:val="18"/>
              </w:rPr>
              <w:t>　</w:t>
            </w:r>
          </w:p>
        </w:tc>
      </w:tr>
    </w:tbl>
    <w:p w14:paraId="7873F1A5">
      <w:pPr>
        <w:tabs>
          <w:tab w:val="left" w:pos="6090"/>
        </w:tabs>
        <w:rPr>
          <w:rFonts w:ascii="仿宋_GB2312" w:hAnsi="宋体" w:eastAsia="仿宋_GB2312" w:cs="宋体"/>
          <w:kern w:val="0"/>
          <w:sz w:val="18"/>
          <w:szCs w:val="18"/>
        </w:rPr>
      </w:pPr>
    </w:p>
    <w:p w14:paraId="4E8B25A2"/>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A04928"/>
    <w:rsid w:val="64A049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2026-09-28T07:29:00Z</dcterms:created>
  <dc:creator>RUIFOX</dc:creator>
  <cp:lastModifiedBy>RUIFOX</cp:lastModifiedBy>
  <dcterms:modified xsi:type="dcterms:W3CDTF">2026-09-28T07:29:20Z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26E81A37EA4545E89A0B7DDDF1CA24A9_11</vt:lpwstr>
  </property>
  <property fmtid="{D5CDD505-2E9C-101B-9397-08002B2CF9AE}" pid="4" name="KSOTemplateDocerSaveRecord">
    <vt:lpwstr>eyJoZGlkIjoiMzk1YzFlOTRhNzdhNDczMTNjMmE1MDI0YWZhNDQxZDkiLCJ1c2VySWQiOiIxMTY5MjIwMTYwIn0=</vt:lpwstr>
  </property>
</Properties>
</file>