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B4BC2">
      <w:pPr>
        <w:tabs>
          <w:tab w:val="left" w:pos="0"/>
        </w:tabs>
        <w:spacing w:line="540" w:lineRule="exact"/>
        <w:ind w:firstLine="643" w:firstLineChars="200"/>
        <w:contextualSpacing/>
        <w:jc w:val="left"/>
        <w:rPr>
          <w:rFonts w:ascii="仿宋_GB2312" w:hAnsi="仿宋" w:eastAsia="仿宋_GB2312" w:cs="楷体_GB2312"/>
          <w:b/>
          <w:kern w:val="0"/>
          <w:sz w:val="32"/>
          <w:szCs w:val="32"/>
        </w:rPr>
      </w:pPr>
      <w:r>
        <w:rPr>
          <w:rFonts w:hint="eastAsia" w:ascii="仿宋_GB2312" w:hAnsi="仿宋" w:eastAsia="仿宋_GB2312" w:cs="楷体_GB2312"/>
          <w:b/>
          <w:kern w:val="0"/>
          <w:sz w:val="32"/>
          <w:szCs w:val="32"/>
        </w:rPr>
        <w:t>附件：</w:t>
      </w:r>
    </w:p>
    <w:p w14:paraId="7594AEF7">
      <w:pPr>
        <w:tabs>
          <w:tab w:val="left" w:pos="0"/>
        </w:tabs>
        <w:spacing w:line="540" w:lineRule="exact"/>
        <w:ind w:firstLine="643" w:firstLineChars="200"/>
        <w:contextualSpacing/>
        <w:jc w:val="center"/>
        <w:rPr>
          <w:rFonts w:ascii="仿宋_GB2312" w:hAnsi="仿宋" w:eastAsia="仿宋_GB2312" w:cs="楷体_GB2312"/>
          <w:b/>
          <w:kern w:val="0"/>
          <w:sz w:val="32"/>
          <w:szCs w:val="32"/>
        </w:rPr>
      </w:pPr>
      <w:r>
        <w:rPr>
          <w:rFonts w:hint="eastAsia" w:ascii="仿宋_GB2312" w:hAnsi="仿宋" w:eastAsia="仿宋_GB2312" w:cs="楷体_GB2312"/>
          <w:b/>
          <w:kern w:val="0"/>
          <w:sz w:val="32"/>
          <w:szCs w:val="32"/>
        </w:rPr>
        <w:t>项目参数及要求</w:t>
      </w:r>
    </w:p>
    <w:p w14:paraId="2F58228A">
      <w:pPr>
        <w:tabs>
          <w:tab w:val="left" w:pos="0"/>
        </w:tabs>
        <w:spacing w:line="540" w:lineRule="exact"/>
        <w:ind w:firstLine="643" w:firstLineChars="200"/>
        <w:contextualSpacing/>
        <w:rPr>
          <w:rFonts w:ascii="仿宋_GB2312" w:hAnsi="仿宋" w:eastAsia="仿宋_GB2312" w:cs="楷体_GB2312"/>
          <w:b/>
          <w:kern w:val="0"/>
          <w:sz w:val="32"/>
          <w:szCs w:val="32"/>
        </w:rPr>
      </w:pPr>
    </w:p>
    <w:p w14:paraId="20C74C4F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kern w:val="0"/>
          <w:sz w:val="24"/>
        </w:rPr>
      </w:pPr>
      <w:r>
        <w:rPr>
          <w:rFonts w:hint="eastAsia" w:ascii="仿宋" w:hAnsi="仿宋" w:eastAsia="仿宋" w:cs="仿宋"/>
          <w:b/>
          <w:kern w:val="0"/>
          <w:sz w:val="24"/>
        </w:rPr>
        <w:t>★一技术要求</w:t>
      </w:r>
    </w:p>
    <w:p w14:paraId="0E3E6610">
      <w:pPr>
        <w:widowControl/>
        <w:jc w:val="left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（一）医用阻燃遮光布帘:</w:t>
      </w:r>
    </w:p>
    <w:p w14:paraId="39DBB9B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1、质量要求：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</w:t>
      </w:r>
    </w:p>
    <w:p w14:paraId="6DF958A5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1.1.纤维成分为100%聚酯纤维；</w:t>
      </w:r>
    </w:p>
    <w:p w14:paraId="34765D9D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1.2.单位面积质量≥300g/㎡；</w:t>
      </w:r>
    </w:p>
    <w:p w14:paraId="57F19AD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1.3.织物密度：经向≥600根/10cm，纬向≥300根/10cm；</w:t>
      </w:r>
    </w:p>
    <w:p w14:paraId="44B49989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1.4.厚度≥0.60mm；</w:t>
      </w:r>
    </w:p>
    <w:p w14:paraId="556DBB0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1.5.耐磨性＞10000次；</w:t>
      </w:r>
    </w:p>
    <w:p w14:paraId="7C89EA1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1.6.断裂强力：经向≥1500N，纬向≥1400N；</w:t>
      </w:r>
    </w:p>
    <w:p w14:paraId="015530CF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1.7.撕破强力：经向≥50N，纬向≥50N；</w:t>
      </w:r>
    </w:p>
    <w:p w14:paraId="27662FB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1.8.顶破强力≥2200N；</w:t>
      </w:r>
    </w:p>
    <w:p w14:paraId="397DD7E5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1.9.色牢度≥4级（包括：耐水洗、耐酸汗渍、耐碱汗渍、耐干摩擦、耐湿摩擦、耐热压、耐皂洗、耐干洗等色牢度），耐光照色牢度≥6级，耐热压色牢度(150℃)≥4 级；</w:t>
      </w:r>
    </w:p>
    <w:p w14:paraId="071B3B35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1.10.水洗尺寸变化率：经纬向-4%～+3%；</w:t>
      </w:r>
    </w:p>
    <w:p w14:paraId="500A85CD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1.11.干洗尺寸变化率：经纬向-4%～+3%；</w:t>
      </w:r>
    </w:p>
    <w:p w14:paraId="040C4FC3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1.12.耐汽蒸尺寸变化率：经纬向-4%～+3%；</w:t>
      </w:r>
    </w:p>
    <w:p w14:paraId="41BA67F1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1.13.水洗后外观：色差＜6级；</w:t>
      </w:r>
    </w:p>
    <w:p w14:paraId="3103D27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1.14.起毛起球≥4级；</w:t>
      </w:r>
    </w:p>
    <w:p w14:paraId="53D027FD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1.15.洗后扭曲率≤0.5%；</w:t>
      </w:r>
    </w:p>
    <w:p w14:paraId="556A76B9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1.16.悬垂性：≥60%；</w:t>
      </w:r>
    </w:p>
    <w:p w14:paraId="6A1350A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1.17.遮光率：≥80%，根据使用区域不一样，遮光需求不一样；</w:t>
      </w:r>
    </w:p>
    <w:p w14:paraId="74C7DB3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1.18.防紫外线性能：UPF紫外线防护系数≥50，UVA平均投射比＜5%，UVA平均透射比＜5%。</w:t>
      </w:r>
    </w:p>
    <w:p w14:paraId="5761430B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2、抗菌防霉要求：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金黄色葡萄球菌≥90%，大肠杆菌≥90%，白色念珠菌≥80%，肺炎克雷伯氏菌≥80%，铜绿假单胞菌≥90%；巴西曲霉、球毛壳、绳状青霉、绿色木霉、出芽短梗霉，5种霉菌均≤1级。</w:t>
      </w:r>
    </w:p>
    <w:p w14:paraId="6A53CD4D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sz w:val="24"/>
        </w:rPr>
        <w:t>3、</w:t>
      </w:r>
      <w:r>
        <w:rPr>
          <w:rFonts w:hint="eastAsia" w:ascii="仿宋" w:hAnsi="仿宋" w:eastAsia="仿宋" w:cs="仿宋"/>
          <w:kern w:val="0"/>
          <w:sz w:val="24"/>
        </w:rPr>
        <w:t>阻燃要求：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提供第三方检测机构（具有检测资质）出具的合格检测报告复印件）符合标准GB 20286-2006《公共场所阻燃制品及组件燃烧性能要求和标识》(织物阻燃 1 级)的技术要求，氧指数≥32%，续燃时间≤5s，阴燃时间≤5s，损毁长度≤150mm，燃烧滴落物：未引起脱脂棉燃烧或阴燃，烟密度等级≤15，产烟毒性等级不低于ZA2。</w:t>
      </w:r>
    </w:p>
    <w:p w14:paraId="12DC146F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4、绿色环保要求：（</w:t>
      </w:r>
      <w:r>
        <w:rPr>
          <w:rFonts w:hint="eastAsia" w:ascii="仿宋" w:hAnsi="仿宋" w:eastAsia="仿宋" w:cs="仿宋"/>
          <w:kern w:val="0"/>
          <w:sz w:val="24"/>
        </w:rPr>
        <w:t>提供第三方检测机构出具的合格检测报告复印件）</w:t>
      </w:r>
    </w:p>
    <w:p w14:paraId="20B9D802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4.1.甲醛含量</w:t>
      </w:r>
      <w:r>
        <w:rPr>
          <w:rFonts w:hint="eastAsia" w:ascii="仿宋" w:hAnsi="仿宋" w:eastAsia="仿宋" w:cs="仿宋"/>
          <w:kern w:val="0"/>
          <w:sz w:val="24"/>
        </w:rPr>
        <w:t>≤3</w:t>
      </w:r>
      <w:r>
        <w:rPr>
          <w:rFonts w:hint="eastAsia" w:ascii="仿宋" w:hAnsi="仿宋" w:eastAsia="仿宋" w:cs="仿宋"/>
          <w:sz w:val="24"/>
        </w:rPr>
        <w:t>0mg/kg；</w:t>
      </w:r>
    </w:p>
    <w:p w14:paraId="33147C16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4.2.PH值4.0～9.0；</w:t>
      </w:r>
    </w:p>
    <w:p w14:paraId="5B0BC7E5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4.3.无异味；</w:t>
      </w:r>
    </w:p>
    <w:p w14:paraId="2F3FEA82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4.4.可分解致癌芳香胺染料（24种）≤20mg/kg；</w:t>
      </w:r>
    </w:p>
    <w:p w14:paraId="2CC6A153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4.5.重金属总铅（Pb）≤0.5mg/kg，重金属总镉（Cd）≤0.5mg/kg，可萃取重金属含量（镉、铅、砷、铜 、汞、钴、镍、铬、锑、六价铬）≤1mg/kg；</w:t>
      </w:r>
    </w:p>
    <w:p w14:paraId="40F89A57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4.6.无致敏染料；</w:t>
      </w:r>
    </w:p>
    <w:p w14:paraId="44A8D932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4.7.无致癌染料。 </w:t>
      </w:r>
    </w:p>
    <w:p w14:paraId="683F25E3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5、制作工艺、颜色及花纹</w:t>
      </w:r>
    </w:p>
    <w:p w14:paraId="34CF0FC5">
      <w:pPr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5.1.制作工艺：褶皱比例为1:2.5；顶部卷边双层≥10cm，底部卷边双层≥10cm，左右卷边各≥3cm；制作工艺精细，缝纫线路笔直；窗帘所需布头带：衬带为白色有纺布，材质聚酯纤维。挂钩采用不锈钢S型挂钩，成品无线头无污物，高温定型；缝制针距均匀牢固表面平整每10cm不少于30针；高度离地面5-15cm，每幅布帘均含固定绑带。具体尺寸以实际要求为准。</w:t>
      </w:r>
    </w:p>
    <w:p w14:paraId="34DA1A6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5.2.颜色及花纹：根据采购人需求提供。</w:t>
      </w:r>
    </w:p>
    <w:p w14:paraId="200F3B8F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（二）</w:t>
      </w:r>
      <w:r>
        <w:rPr>
          <w:rFonts w:hint="eastAsia" w:ascii="仿宋" w:hAnsi="仿宋" w:eastAsia="仿宋" w:cs="仿宋"/>
          <w:b/>
          <w:bCs/>
          <w:kern w:val="0"/>
          <w:sz w:val="24"/>
        </w:rPr>
        <w:t>医用围帘</w:t>
      </w:r>
    </w:p>
    <w:p w14:paraId="75BDFD16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1、质量要求：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</w:t>
      </w:r>
    </w:p>
    <w:p w14:paraId="5D78C721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1.1.纤维成分为100%聚酯纤维；</w:t>
      </w:r>
    </w:p>
    <w:p w14:paraId="6DF43EF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1.2.单位面积质量（网格除外）≥250g/㎡；</w:t>
      </w:r>
    </w:p>
    <w:p w14:paraId="1F25CD9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1.3.织物密度：经向≥140根/10cm，纬向≥120根/10cm；</w:t>
      </w:r>
    </w:p>
    <w:p w14:paraId="65CA555C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1.4.网孔高度</w:t>
      </w:r>
      <w:r>
        <w:rPr>
          <w:rFonts w:hint="eastAsia" w:ascii="仿宋" w:hAnsi="仿宋" w:eastAsia="仿宋" w:cs="仿宋"/>
          <w:sz w:val="24"/>
        </w:rPr>
        <w:t>50cm-80cm</w:t>
      </w:r>
      <w:r>
        <w:rPr>
          <w:rFonts w:hint="eastAsia" w:ascii="仿宋" w:hAnsi="仿宋" w:eastAsia="仿宋" w:cs="仿宋"/>
          <w:kern w:val="0"/>
          <w:sz w:val="24"/>
        </w:rPr>
        <w:t>；</w:t>
      </w:r>
    </w:p>
    <w:p w14:paraId="48B326D6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1.5.厚度≥0.7mm；</w:t>
      </w:r>
    </w:p>
    <w:p w14:paraId="6C981CF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1.6.耐磨性＞10000次；</w:t>
      </w:r>
    </w:p>
    <w:p w14:paraId="3654BE16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1.7.断裂强力：经向≥1400N，纬向≥1400N；</w:t>
      </w:r>
    </w:p>
    <w:p w14:paraId="4B052A8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1.8.撕破强力：经向≥50N，纬向≥50N；</w:t>
      </w:r>
    </w:p>
    <w:p w14:paraId="43B22A7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1.9.顶破强力≥1200N；</w:t>
      </w:r>
    </w:p>
    <w:p w14:paraId="5B1DAB45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1.10.耐水色牢度：变色≥4级，沾色≥4级；耐干洗色牢度：≥4级；耐热压色牢度(150℃)：≥4级；</w:t>
      </w:r>
    </w:p>
    <w:p w14:paraId="05AEFF81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1.11.水洗尺寸变化率：经纬向-4%～+3%；</w:t>
      </w:r>
    </w:p>
    <w:p w14:paraId="53206E0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1.12.干洗尺寸变化率：经纬向-4%～+3%；</w:t>
      </w:r>
    </w:p>
    <w:p w14:paraId="2F48B935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1.13.耐汽蒸尺寸变化率：经纬向-4%～+3%；</w:t>
      </w:r>
    </w:p>
    <w:p w14:paraId="293D6BA8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1.14.起毛起球≥4级；</w:t>
      </w:r>
    </w:p>
    <w:p w14:paraId="24D9DE8B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1.15.耐黄变≥4级；</w:t>
      </w:r>
    </w:p>
    <w:p w14:paraId="30CEBD7A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1.16.悬垂性：≥60%；</w:t>
      </w:r>
    </w:p>
    <w:p w14:paraId="0F350187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17.遮光率：≥70%。</w:t>
      </w:r>
    </w:p>
    <w:p w14:paraId="61B97317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2、抗菌防霉要求：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。金黄色葡萄球菌≥90%，大肠杆菌≥90%，白色念珠菌≥80%，肺炎克雷伯氏菌≥80%，铜绿假单胞菌≥90%；巴西曲霉、球毛壳、绳状青霉、绿色木霉、出芽短梗霉，5种霉菌均≤1级。</w:t>
      </w:r>
    </w:p>
    <w:p w14:paraId="45E5C07A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sz w:val="24"/>
        </w:rPr>
        <w:t>3、</w:t>
      </w:r>
      <w:r>
        <w:rPr>
          <w:rFonts w:hint="eastAsia" w:ascii="仿宋" w:hAnsi="仿宋" w:eastAsia="仿宋" w:cs="仿宋"/>
          <w:kern w:val="0"/>
          <w:sz w:val="24"/>
        </w:rPr>
        <w:t>阻燃要求：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提供第三方检测机构（具有检测资质）出具的合格检测报告复印件）. 符合标准GB 20286-2006《公共场所阻燃制品及组件燃烧性能要求和标识》(织物阻燃 1 级)的技术要求，氧指数≥32%，续燃时间≤5s，阴燃时间≤5s，损毁长度≤150mm，燃烧滴落物：未引起脱脂棉燃烧或阴燃，烟密度等级≤15，产烟毒性等级不低于ZA2。</w:t>
      </w:r>
    </w:p>
    <w:p w14:paraId="6D8D8578">
      <w:pPr>
        <w:widowControl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4、绿色环保要求（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提供第三方检测机构（具有检测资质）出具的合格检测报告复印件）。</w:t>
      </w:r>
    </w:p>
    <w:p w14:paraId="4D135599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4.1.甲醛含量≤30mg/kg；</w:t>
      </w:r>
    </w:p>
    <w:p w14:paraId="0AFA50F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4.2.PH值4.0～9.0；</w:t>
      </w:r>
    </w:p>
    <w:p w14:paraId="2BE31766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4.3.可分解致癌芳香胺染料未检出；</w:t>
      </w:r>
    </w:p>
    <w:p w14:paraId="58DD090C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4.4.可萃取重金属含量（镉、铅、砷、铜、汞、钴、镍、铬、六价铬）≤1mg/kg，重金属总铅（Pb）、重金属总镉（Cd）≤1mg/kg；</w:t>
      </w:r>
    </w:p>
    <w:p w14:paraId="00C03DDA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4.5.无致敏染料</w:t>
      </w:r>
    </w:p>
    <w:p w14:paraId="4F3B4394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4.6.无致癌染料。</w:t>
      </w:r>
    </w:p>
    <w:p w14:paraId="586673F7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5、工艺制作要求</w:t>
      </w:r>
    </w:p>
    <w:p w14:paraId="09C3082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5.1.制作工艺：褶皱比例为1:2；顶部卷边双层≥10cm，底部卷边双层≥10cm，左右卷边各≥3cm；制作工艺精细，缝纫线路笔直；窗帘所需布头带：衬带为白色有纺布，材质聚酯纤维。挂钩采用不锈钢S型挂钩，成品无线头无污物，高温定型；缝制针距均匀牢固表面平整每10cm不少于30针；高度离地面5-15cm，每幅围帘均含固定绑带。具体尺寸以实际要求为准。</w:t>
      </w:r>
    </w:p>
    <w:p w14:paraId="39CC07F3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5.2.颜色及花纹：根据采购人需求提供。</w:t>
      </w:r>
    </w:p>
    <w:p w14:paraId="2A31D1E4">
      <w:pPr>
        <w:widowControl/>
        <w:jc w:val="left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（三）遮光布帘轨道</w:t>
      </w:r>
    </w:p>
    <w:p w14:paraId="3172755D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1、质量要求：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提供第三方检测机构（具有检测资质）出具的合格检测报告复印件）。</w:t>
      </w:r>
    </w:p>
    <w:p w14:paraId="061B392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1.1.轨道材质：铝合金；外观表面涂层均匀，无皱纹、裂纹、鼓泡、流痕、发粘、划伤等影响使用的可视缺陷；</w:t>
      </w:r>
    </w:p>
    <w:p w14:paraId="165BB07F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1.2.力学性能：规定非比例延伸强度Rp0.2≥180N/mm</w:t>
      </w:r>
      <w:r>
        <w:rPr>
          <w:rFonts w:hint="eastAsia" w:ascii="仿宋" w:hAnsi="仿宋" w:eastAsia="仿宋" w:cs="仿宋"/>
          <w:kern w:val="0"/>
          <w:sz w:val="24"/>
          <w:vertAlign w:val="superscript"/>
        </w:rPr>
        <w:t>2</w:t>
      </w:r>
      <w:r>
        <w:rPr>
          <w:rFonts w:hint="eastAsia" w:ascii="仿宋" w:hAnsi="仿宋" w:eastAsia="仿宋" w:cs="仿宋"/>
          <w:kern w:val="0"/>
          <w:sz w:val="24"/>
        </w:rPr>
        <w:t>，抗拉强度Rm≥200N/mm</w:t>
      </w:r>
      <w:r>
        <w:rPr>
          <w:rFonts w:hint="eastAsia" w:ascii="仿宋" w:hAnsi="仿宋" w:eastAsia="仿宋" w:cs="仿宋"/>
          <w:kern w:val="0"/>
          <w:sz w:val="24"/>
          <w:vertAlign w:val="superscript"/>
        </w:rPr>
        <w:t>2</w:t>
      </w:r>
      <w:r>
        <w:rPr>
          <w:rFonts w:hint="eastAsia" w:ascii="仿宋" w:hAnsi="仿宋" w:eastAsia="仿宋" w:cs="仿宋"/>
          <w:kern w:val="0"/>
          <w:sz w:val="24"/>
        </w:rPr>
        <w:t>，断后伸长率A50mm≥8%；维氏硬度≥58HV；</w:t>
      </w:r>
    </w:p>
    <w:p w14:paraId="46DA8F5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1.3.盐雾试验：进行中性盐雾试验后，按照GB/T 6461-2002标准外观评级RA＞9级，耐碱性：经耐碱性试验后，保护等级≥10级；</w:t>
      </w:r>
    </w:p>
    <w:p w14:paraId="22DA7CC3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1.4.化学成分：Mg：0.4-0.9%；Si：0.2-0.6%；Fe≤0.35%；Mn≤0.1%；Cu≤0.1%；Zn≤0.1%；Cr≤0.1%；Ti≤0.1%；</w:t>
      </w:r>
    </w:p>
    <w:p w14:paraId="4BF22090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1.5.规格尺寸要求：轨道高度≥23mm×宽度≥33mm，壁厚≥1.6mm，轨道槽宽≥21mm。安装码宽度≥25mm，长度≥76mm，整体厚度≥12.5mm，壁度≥1.4mm；安装码固定孔3个。轨道内衬加强筋4根，加强筋宽度≥6mm，厚度≥0.9mm。轨道重量≥560g/m，轨道承重≥40kg，走珠滑轮承重≥8kg，安装码承重≥15kg，单个吊轮承重能力≥6kg。漆膜硬度≥2H，漆膜附着力≥0级。</w:t>
      </w:r>
    </w:p>
    <w:p w14:paraId="2EF6505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2、不锈钢挂钩技术参数：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。材质为不锈钢，连接间部分为ABS，吊轮金属环采用304不锈钢；.化学成分含量：C≤0.08%，S≤0.03%，P≤0.045%，Mn≤2.0%，Si≤1.00%，Cr：18.00%~20.00%，Ni：8.00%~11.00%。</w:t>
      </w:r>
    </w:p>
    <w:p w14:paraId="1DE14FC2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3、安装要求：轨道每米不低于8个走珠，每隔70cm（±5%）位置1个安装码。</w:t>
      </w:r>
    </w:p>
    <w:p w14:paraId="63A117EE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（四）医用围帘轨道</w:t>
      </w:r>
    </w:p>
    <w:p w14:paraId="0252EE9B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1、质量要求：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kern w:val="0"/>
          <w:sz w:val="24"/>
        </w:rPr>
        <w:t>提供第三方检测机构（具有检测资质）出具的合格检测报告复印件）。</w:t>
      </w:r>
    </w:p>
    <w:p w14:paraId="6186A15D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1.1.轨道材质：铝合金；外观表面涂层均匀，无皱纹、裂纹、鼓泡、流痕、发粘、划伤等影响使用的可视缺陷；</w:t>
      </w:r>
    </w:p>
    <w:p w14:paraId="1240B63F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1.2力学性能: 规定非比例延伸强度Rp0.2≥110N/㎜²；抗拉强度Rm≥160N/㎜²；断后伸长率A50mm≥8.0％；维氏硬度≥58HV；</w:t>
      </w:r>
    </w:p>
    <w:p w14:paraId="26F50B08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1.3.化学成分Si：0.2-0.6%、Mn≤0.1%、Cu≤0.1%、Mg:0.45-0.9%、Zn≤0.1%、Cr≤0.1%、Fe≤0.35%、Ti≤0.1%；</w:t>
      </w:r>
    </w:p>
    <w:p w14:paraId="21DFFECB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1.4.型材尺寸偏差：4.1弯曲度：任意300mm长度上≤0.3mm；4.2扭拧度：≤1mm/m；4.3角度偏差：±1.0°（度）；4.4平面间隙：≤0.17mm ；4.5端头切斜度：≤2°（度）；</w:t>
      </w:r>
    </w:p>
    <w:p w14:paraId="2EDD738F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1.5.规格尺寸要求：轨道尺寸壁厚≥1.5mm，宽度≥18mm，长度≥25mm；安装码尺寸：厚度≥1.4mm，长度≥40mm×宽度≥21mm；不锈钢吊环长度15mm～18mm/宽度10mm～12mm；轨道承重≥175kg，滑轮承重≥30kg，安装码承重≥30kg，轨道克重≥500g/m；</w:t>
      </w:r>
    </w:p>
    <w:p w14:paraId="319952CE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1.6.滑轮：6.1材质：采用POM工程材料；6.2结构：采用单层滑轮结构，每个安全负荷承重承重≥8kg，滑轮直径≥8mm；</w:t>
      </w:r>
    </w:p>
    <w:p w14:paraId="7F9A8DC7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1.7.膜层性能：复合膜局部厚度≥17μm，阳极氧化膜局部膜厚≥9μm、漆膜硬度≥5H，耐碱性保护等级达到 10 级，沸水试验后的膜层附着性涂层无脱落、起泡、起皱等现象，沸水试验后的膜层外观达到 0 级。</w:t>
      </w:r>
    </w:p>
    <w:p w14:paraId="64FE4A5B">
      <w:pPr>
        <w:widowControl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2、围帘轨道安装要求：轨道每米不低于8个走珠，每隔70cm（±5%）位置1个安装码。轨道采用机器弯弧，可任意弯L型或U型轨道。</w:t>
      </w:r>
    </w:p>
    <w:p w14:paraId="4FBC0110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（五）窗纱</w:t>
      </w:r>
      <w:r>
        <w:rPr>
          <w:rFonts w:hint="eastAsia" w:ascii="仿宋" w:hAnsi="仿宋" w:eastAsia="仿宋" w:cs="仿宋"/>
          <w:kern w:val="0"/>
          <w:sz w:val="24"/>
        </w:rPr>
        <w:t>：</w:t>
      </w:r>
    </w:p>
    <w:p w14:paraId="21AE4BE5">
      <w:pPr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单位面积质量≥80g/m²，pH值4.0-7.5，无异味，可分解致癌芳香胺染料，无甲醛。</w:t>
      </w:r>
    </w:p>
    <w:p w14:paraId="34402621">
      <w:pPr>
        <w:rPr>
          <w:rFonts w:hint="eastAsia" w:ascii="仿宋" w:hAnsi="仿宋" w:eastAsia="仿宋" w:cs="仿宋"/>
          <w:kern w:val="0"/>
          <w:sz w:val="24"/>
        </w:rPr>
      </w:pPr>
    </w:p>
    <w:p w14:paraId="094B8EF6">
      <w:pPr>
        <w:tabs>
          <w:tab w:val="left" w:pos="0"/>
        </w:tabs>
        <w:spacing w:line="540" w:lineRule="exact"/>
        <w:contextualSpacing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eastAsia="zh-CN"/>
        </w:rPr>
        <w:t>注：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医用阻燃遮光布帘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医用围帘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窗纱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eastAsia="zh-CN"/>
        </w:rPr>
        <w:t>，宽幅未超过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2.8米的按横向计量，宽幅超过2.8米的按竖向计量</w:t>
      </w:r>
    </w:p>
    <w:p w14:paraId="4A6F8C3E">
      <w:pPr>
        <w:rPr>
          <w:rFonts w:hint="eastAsia" w:ascii="仿宋" w:hAnsi="仿宋" w:eastAsia="仿宋" w:cs="仿宋"/>
          <w:kern w:val="0"/>
          <w:sz w:val="24"/>
          <w:lang w:eastAsia="zh-CN"/>
        </w:rPr>
      </w:pPr>
    </w:p>
    <w:p w14:paraId="23C9E153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kern w:val="0"/>
          <w:sz w:val="24"/>
        </w:rPr>
      </w:pPr>
      <w:r>
        <w:rPr>
          <w:rFonts w:hint="eastAsia" w:ascii="仿宋" w:hAnsi="仿宋" w:eastAsia="仿宋" w:cs="仿宋"/>
          <w:sz w:val="24"/>
        </w:rPr>
        <w:t>带“★”的技术要求均为实质性要求，有要求的按相关要求提供检测报告，否则视为无效投标。</w:t>
      </w:r>
    </w:p>
    <w:p w14:paraId="025FE540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kern w:val="0"/>
          <w:sz w:val="24"/>
        </w:rPr>
      </w:pPr>
      <w:r>
        <w:rPr>
          <w:rFonts w:hint="eastAsia" w:ascii="仿宋" w:hAnsi="仿宋" w:eastAsia="仿宋" w:cs="仿宋"/>
          <w:b/>
          <w:kern w:val="0"/>
          <w:sz w:val="24"/>
        </w:rPr>
        <w:t>★ 二 商务要求</w:t>
      </w:r>
    </w:p>
    <w:p w14:paraId="6A7A31E9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kern w:val="0"/>
          <w:sz w:val="24"/>
        </w:rPr>
      </w:pPr>
      <w:r>
        <w:rPr>
          <w:rFonts w:hint="eastAsia" w:ascii="仿宋" w:hAnsi="仿宋" w:eastAsia="仿宋" w:cs="仿宋"/>
          <w:b/>
          <w:kern w:val="0"/>
          <w:sz w:val="24"/>
        </w:rPr>
        <w:t>1.</w:t>
      </w:r>
      <w:r>
        <w:rPr>
          <w:rFonts w:hint="eastAsia" w:ascii="仿宋" w:hAnsi="仿宋" w:eastAsia="仿宋" w:cs="仿宋"/>
          <w:color w:val="000000"/>
          <w:sz w:val="24"/>
        </w:rPr>
        <w:t>合同期限三年，一年一签</w:t>
      </w:r>
    </w:p>
    <w:p w14:paraId="5EED718A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b/>
          <w:kern w:val="0"/>
          <w:sz w:val="24"/>
        </w:rPr>
      </w:pPr>
      <w:r>
        <w:rPr>
          <w:rFonts w:hint="eastAsia" w:ascii="仿宋" w:hAnsi="仿宋" w:eastAsia="仿宋" w:cs="仿宋"/>
          <w:b/>
          <w:kern w:val="0"/>
          <w:sz w:val="24"/>
        </w:rPr>
        <w:t>2.售后服务要求</w:t>
      </w:r>
      <w:bookmarkStart w:id="0" w:name="_GoBack"/>
      <w:bookmarkEnd w:id="0"/>
    </w:p>
    <w:p w14:paraId="64015607">
      <w:pPr>
        <w:pStyle w:val="2"/>
        <w:ind w:left="0" w:leftChars="0"/>
        <w:jc w:val="left"/>
        <w:rPr>
          <w:rFonts w:ascii="仿宋" w:hAnsi="仿宋" w:eastAsia="仿宋" w:cs="仿宋"/>
          <w:sz w:val="24"/>
          <w:shd w:val="clear" w:color="auto" w:fill="FFFFFF"/>
        </w:rPr>
      </w:pPr>
      <w:r>
        <w:rPr>
          <w:rFonts w:hint="eastAsia" w:ascii="仿宋" w:hAnsi="仿宋" w:eastAsia="仿宋" w:cs="仿宋"/>
          <w:sz w:val="24"/>
          <w:shd w:val="clear" w:color="auto" w:fill="FFFFFF"/>
        </w:rPr>
        <w:t>2.1质保期至少3年，包含窗帘轨道等配件物品。自最终验收合格之日起算。质保期内出现质量问题，成交供应商在接到通知后4小时内响应，24小时内提供解决方案或到达现场维修排除故障。</w:t>
      </w:r>
    </w:p>
    <w:p w14:paraId="28CFC4BA">
      <w:pPr>
        <w:pStyle w:val="2"/>
        <w:ind w:left="0" w:leftChars="0"/>
        <w:jc w:val="left"/>
        <w:rPr>
          <w:rFonts w:ascii="仿宋" w:hAnsi="仿宋" w:eastAsia="仿宋" w:cs="仿宋"/>
          <w:sz w:val="24"/>
          <w:shd w:val="clear" w:color="auto" w:fill="FFFFFF"/>
        </w:rPr>
      </w:pPr>
      <w:r>
        <w:rPr>
          <w:rFonts w:hint="eastAsia" w:ascii="仿宋" w:hAnsi="仿宋" w:eastAsia="仿宋" w:cs="仿宋"/>
          <w:sz w:val="24"/>
          <w:shd w:val="clear" w:color="auto" w:fill="FFFFFF"/>
        </w:rPr>
        <w:t>2.2凡属产品质量问题（人为损坏除外）予以维修，无法维修的予以更换，并承担修理调换费用，在3天内将新更换的产品送至采购人指定地点。</w:t>
      </w:r>
    </w:p>
    <w:p w14:paraId="7F0BF524">
      <w:pPr>
        <w:tabs>
          <w:tab w:val="left" w:pos="0"/>
        </w:tabs>
        <w:spacing w:line="540" w:lineRule="exact"/>
        <w:contextualSpacing/>
        <w:rPr>
          <w:rFonts w:ascii="仿宋" w:hAnsi="仿宋" w:eastAsia="仿宋" w:cs="仿宋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kern w:val="0"/>
          <w:sz w:val="24"/>
        </w:rPr>
        <w:t>3付款方式：</w:t>
      </w:r>
      <w:r>
        <w:rPr>
          <w:rFonts w:hint="eastAsia" w:ascii="仿宋" w:hAnsi="仿宋" w:eastAsia="仿宋" w:cs="仿宋"/>
          <w:sz w:val="24"/>
          <w:shd w:val="clear" w:color="auto" w:fill="FFFFFF"/>
        </w:rPr>
        <w:t>据实结算。每半年按实际使用量结算，商家提供相关资料和完税发票。</w:t>
      </w:r>
    </w:p>
    <w:p w14:paraId="462FA5C8">
      <w:pPr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sz w:val="24"/>
        </w:rPr>
        <w:t>“★”为实质性要求，供应商必须全部满足。</w:t>
      </w:r>
    </w:p>
    <w:p w14:paraId="6531F1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E56201"/>
    <w:rsid w:val="72FF9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2026-06-25T10:57:00Z</dcterms:created>
  <dc:creator>Administrator</dc:creator>
  <cp:lastModifiedBy>王友关</cp:lastModifiedBy>
  <dcterms:modified xsi:type="dcterms:W3CDTF">2026-10-15T14:31:06Z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eyJoZGlkIjoiZjYzZTk3ZDExOGU0MDM4YTRhZWM5ODg5NzhlZmVlMDEiLCJ1c2VySWQiOiIxNzgxODU1OTE0In0=</vt:lpwstr>
  </property>
  <property fmtid="{D5CDD505-2E9C-101B-9397-08002B2CF9AE}" pid="4" name="ICV">
    <vt:lpwstr>C6D3878D51A5423A995A1A8E3DA67AE1_12</vt:lpwstr>
  </property>
</Properties>
</file>